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737"/>
        <w:gridCol w:w="2113"/>
        <w:gridCol w:w="1254"/>
        <w:gridCol w:w="3755"/>
      </w:tblGrid>
      <w:tr w:rsidR="008B7D19" w:rsidRPr="00F65F4D" w14:paraId="0EB13698" w14:textId="77777777" w:rsidTr="00245CA8">
        <w:trPr>
          <w:cantSplit/>
          <w:trHeight w:val="346"/>
          <w:jc w:val="center"/>
        </w:trPr>
        <w:tc>
          <w:tcPr>
            <w:tcW w:w="1484" w:type="dxa"/>
            <w:vMerge w:val="restart"/>
          </w:tcPr>
          <w:p w14:paraId="63C681A4" w14:textId="77777777" w:rsidR="008B7D19" w:rsidRPr="00F65F4D" w:rsidRDefault="008B7D19" w:rsidP="00245CA8">
            <w:pPr>
              <w:spacing w:before="0" w:after="200" w:line="276" w:lineRule="auto"/>
              <w:jc w:val="left"/>
              <w:rPr>
                <w:rFonts w:cs="Arial"/>
                <w:sz w:val="22"/>
                <w:szCs w:val="22"/>
              </w:rPr>
            </w:pPr>
            <w:r w:rsidRPr="00F65F4D">
              <w:rPr>
                <w:rFonts w:asciiTheme="minorHAnsi" w:hAnsiTheme="minorHAnsi"/>
                <w:noProof/>
                <w:sz w:val="22"/>
                <w:szCs w:val="22"/>
              </w:rPr>
              <w:drawing>
                <wp:anchor distT="0" distB="0" distL="114300" distR="114300" simplePos="0" relativeHeight="251659776" behindDoc="0" locked="0" layoutInCell="1" allowOverlap="1" wp14:anchorId="69AA0D1D" wp14:editId="465D2A78">
                  <wp:simplePos x="0" y="0"/>
                  <wp:positionH relativeFrom="column">
                    <wp:posOffset>0</wp:posOffset>
                  </wp:positionH>
                  <wp:positionV relativeFrom="page">
                    <wp:posOffset>229870</wp:posOffset>
                  </wp:positionV>
                  <wp:extent cx="748665" cy="6953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85701" w14:textId="77777777" w:rsidR="008B7D19" w:rsidRPr="00F65F4D" w:rsidRDefault="008B7D19" w:rsidP="00245CA8">
            <w:pPr>
              <w:spacing w:before="0" w:after="200" w:line="276" w:lineRule="auto"/>
              <w:jc w:val="left"/>
              <w:rPr>
                <w:rFonts w:cs="Arial"/>
                <w:sz w:val="22"/>
                <w:szCs w:val="22"/>
              </w:rPr>
            </w:pPr>
          </w:p>
          <w:p w14:paraId="2ADEA6D1" w14:textId="77777777" w:rsidR="008B7D19" w:rsidRPr="00F65F4D" w:rsidRDefault="008B7D19" w:rsidP="00245CA8">
            <w:pPr>
              <w:spacing w:before="0" w:after="200" w:line="276" w:lineRule="auto"/>
              <w:jc w:val="left"/>
              <w:rPr>
                <w:rFonts w:cs="Arial"/>
                <w:sz w:val="22"/>
                <w:szCs w:val="22"/>
              </w:rPr>
            </w:pPr>
          </w:p>
        </w:tc>
        <w:tc>
          <w:tcPr>
            <w:tcW w:w="1737" w:type="dxa"/>
            <w:vMerge w:val="restart"/>
            <w:vAlign w:val="center"/>
          </w:tcPr>
          <w:p w14:paraId="3AB27785" w14:textId="6BFBEC23" w:rsidR="008B7D19" w:rsidRPr="00F65F4D" w:rsidRDefault="008B7D19" w:rsidP="00245CA8">
            <w:pPr>
              <w:tabs>
                <w:tab w:val="center" w:pos="4513"/>
                <w:tab w:val="right" w:pos="9026"/>
              </w:tabs>
              <w:spacing w:before="0" w:after="0"/>
              <w:jc w:val="left"/>
              <w:rPr>
                <w:rFonts w:cs="Arial"/>
                <w:b/>
                <w:bCs/>
                <w:sz w:val="22"/>
                <w:szCs w:val="22"/>
              </w:rPr>
            </w:pPr>
            <w:r w:rsidRPr="00F65F4D">
              <w:rPr>
                <w:rFonts w:cs="Arial"/>
                <w:b/>
                <w:bCs/>
                <w:sz w:val="22"/>
                <w:szCs w:val="22"/>
              </w:rPr>
              <w:t>Lifelong Learning</w:t>
            </w:r>
            <w:r w:rsidR="00245CA8">
              <w:rPr>
                <w:rFonts w:cs="Arial"/>
                <w:b/>
                <w:bCs/>
                <w:sz w:val="22"/>
                <w:szCs w:val="22"/>
              </w:rPr>
              <w:t xml:space="preserve"> and </w:t>
            </w:r>
            <w:r w:rsidRPr="00F65F4D">
              <w:rPr>
                <w:rFonts w:cs="Arial"/>
                <w:b/>
                <w:bCs/>
                <w:sz w:val="22"/>
                <w:szCs w:val="22"/>
              </w:rPr>
              <w:t>Skills</w:t>
            </w:r>
          </w:p>
        </w:tc>
        <w:tc>
          <w:tcPr>
            <w:tcW w:w="2113" w:type="dxa"/>
            <w:vMerge w:val="restart"/>
            <w:vAlign w:val="center"/>
          </w:tcPr>
          <w:p w14:paraId="6B9FE9C1" w14:textId="78CC8CCF" w:rsidR="008B7D19" w:rsidRPr="00F65F4D" w:rsidRDefault="008B7D19" w:rsidP="00245CA8">
            <w:pPr>
              <w:spacing w:before="0" w:after="0" w:line="276" w:lineRule="auto"/>
              <w:jc w:val="left"/>
              <w:rPr>
                <w:rFonts w:cs="Arial"/>
                <w:b/>
                <w:bCs/>
                <w:sz w:val="22"/>
                <w:szCs w:val="22"/>
              </w:rPr>
            </w:pPr>
            <w:r>
              <w:rPr>
                <w:rFonts w:cs="Arial"/>
                <w:b/>
                <w:bCs/>
                <w:sz w:val="22"/>
                <w:szCs w:val="22"/>
              </w:rPr>
              <w:t>Staff Guidance</w:t>
            </w:r>
          </w:p>
        </w:tc>
        <w:tc>
          <w:tcPr>
            <w:tcW w:w="1254" w:type="dxa"/>
            <w:vAlign w:val="center"/>
          </w:tcPr>
          <w:p w14:paraId="70D7730B" w14:textId="77777777" w:rsidR="008B7D19" w:rsidRPr="00F65F4D" w:rsidRDefault="008B7D19" w:rsidP="00245CA8">
            <w:pPr>
              <w:spacing w:before="0" w:after="0" w:line="276" w:lineRule="auto"/>
              <w:jc w:val="left"/>
              <w:rPr>
                <w:rFonts w:cs="Arial"/>
                <w:b/>
                <w:bCs/>
                <w:sz w:val="22"/>
                <w:szCs w:val="22"/>
              </w:rPr>
            </w:pPr>
            <w:r w:rsidRPr="00F65F4D">
              <w:rPr>
                <w:rFonts w:cs="Arial"/>
                <w:b/>
                <w:bCs/>
                <w:sz w:val="16"/>
                <w:szCs w:val="22"/>
              </w:rPr>
              <w:t>Issue Date:</w:t>
            </w:r>
          </w:p>
        </w:tc>
        <w:tc>
          <w:tcPr>
            <w:tcW w:w="3755" w:type="dxa"/>
            <w:vAlign w:val="center"/>
          </w:tcPr>
          <w:p w14:paraId="1465566C" w14:textId="2023A54F" w:rsidR="008B7D19" w:rsidRPr="00F65F4D" w:rsidRDefault="00CB09E1" w:rsidP="00245CA8">
            <w:pPr>
              <w:tabs>
                <w:tab w:val="center" w:pos="4513"/>
                <w:tab w:val="right" w:pos="9026"/>
              </w:tabs>
              <w:spacing w:before="0" w:after="0"/>
              <w:jc w:val="left"/>
              <w:rPr>
                <w:rFonts w:cs="Arial"/>
                <w:sz w:val="16"/>
                <w:szCs w:val="22"/>
              </w:rPr>
            </w:pPr>
            <w:r>
              <w:rPr>
                <w:rFonts w:cs="Arial"/>
                <w:sz w:val="16"/>
                <w:szCs w:val="22"/>
              </w:rPr>
              <w:t>August</w:t>
            </w:r>
            <w:r w:rsidR="008B7D19" w:rsidRPr="00F65F4D">
              <w:rPr>
                <w:rFonts w:cs="Arial"/>
                <w:sz w:val="16"/>
                <w:szCs w:val="22"/>
              </w:rPr>
              <w:t xml:space="preserve"> 202</w:t>
            </w:r>
            <w:r w:rsidR="00E05D84">
              <w:rPr>
                <w:rFonts w:cs="Arial"/>
                <w:sz w:val="16"/>
                <w:szCs w:val="22"/>
              </w:rPr>
              <w:t>1</w:t>
            </w:r>
          </w:p>
        </w:tc>
      </w:tr>
      <w:tr w:rsidR="008B7D19" w:rsidRPr="00F65F4D" w14:paraId="6FEC4745" w14:textId="77777777" w:rsidTr="00245CA8">
        <w:trPr>
          <w:cantSplit/>
          <w:trHeight w:val="292"/>
          <w:jc w:val="center"/>
        </w:trPr>
        <w:tc>
          <w:tcPr>
            <w:tcW w:w="1484" w:type="dxa"/>
            <w:vMerge/>
          </w:tcPr>
          <w:p w14:paraId="3F881207"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622861D8" w14:textId="77777777" w:rsidR="008B7D19" w:rsidRPr="00F65F4D" w:rsidRDefault="008B7D19" w:rsidP="00245CA8">
            <w:pPr>
              <w:tabs>
                <w:tab w:val="center" w:pos="4513"/>
                <w:tab w:val="right" w:pos="9026"/>
              </w:tabs>
              <w:spacing w:before="0" w:after="0"/>
              <w:jc w:val="left"/>
              <w:rPr>
                <w:rFonts w:cs="Arial"/>
                <w:sz w:val="22"/>
                <w:szCs w:val="22"/>
              </w:rPr>
            </w:pPr>
          </w:p>
        </w:tc>
        <w:tc>
          <w:tcPr>
            <w:tcW w:w="2113" w:type="dxa"/>
            <w:vMerge/>
            <w:vAlign w:val="center"/>
          </w:tcPr>
          <w:p w14:paraId="423E8A5D" w14:textId="77777777" w:rsidR="008B7D19" w:rsidRPr="00F65F4D" w:rsidRDefault="008B7D19" w:rsidP="00245CA8">
            <w:pPr>
              <w:spacing w:before="0" w:after="0" w:line="276" w:lineRule="auto"/>
              <w:jc w:val="left"/>
              <w:rPr>
                <w:rFonts w:cs="Arial"/>
                <w:sz w:val="22"/>
                <w:szCs w:val="22"/>
              </w:rPr>
            </w:pPr>
          </w:p>
        </w:tc>
        <w:tc>
          <w:tcPr>
            <w:tcW w:w="1254" w:type="dxa"/>
            <w:vAlign w:val="center"/>
          </w:tcPr>
          <w:p w14:paraId="744EE507" w14:textId="77777777" w:rsidR="008B7D19" w:rsidRPr="00F65F4D" w:rsidRDefault="008B7D19" w:rsidP="00245CA8">
            <w:pPr>
              <w:spacing w:before="0" w:after="0" w:line="276" w:lineRule="auto"/>
              <w:jc w:val="left"/>
              <w:rPr>
                <w:rFonts w:cs="Arial"/>
                <w:b/>
                <w:bCs/>
                <w:sz w:val="16"/>
                <w:szCs w:val="22"/>
              </w:rPr>
            </w:pPr>
            <w:r w:rsidRPr="00F65F4D">
              <w:rPr>
                <w:rFonts w:cs="Arial"/>
                <w:b/>
                <w:bCs/>
                <w:sz w:val="16"/>
                <w:szCs w:val="22"/>
              </w:rPr>
              <w:t>Review cycle:</w:t>
            </w:r>
          </w:p>
        </w:tc>
        <w:tc>
          <w:tcPr>
            <w:tcW w:w="3755" w:type="dxa"/>
            <w:vAlign w:val="center"/>
          </w:tcPr>
          <w:p w14:paraId="11B5362E" w14:textId="77777777" w:rsidR="008B7D19" w:rsidRPr="00F65F4D" w:rsidRDefault="008B7D19" w:rsidP="00245CA8">
            <w:pPr>
              <w:spacing w:before="0" w:after="0" w:line="276" w:lineRule="auto"/>
              <w:jc w:val="left"/>
              <w:rPr>
                <w:rFonts w:cs="Arial"/>
                <w:sz w:val="16"/>
                <w:szCs w:val="22"/>
              </w:rPr>
            </w:pPr>
            <w:r w:rsidRPr="00F65F4D">
              <w:rPr>
                <w:rFonts w:cs="Arial"/>
                <w:sz w:val="16"/>
                <w:szCs w:val="22"/>
              </w:rPr>
              <w:t>Annually</w:t>
            </w:r>
          </w:p>
        </w:tc>
      </w:tr>
      <w:tr w:rsidR="008B7D19" w:rsidRPr="00F65F4D" w14:paraId="189824E4" w14:textId="77777777" w:rsidTr="00245CA8">
        <w:trPr>
          <w:cantSplit/>
          <w:trHeight w:val="361"/>
          <w:jc w:val="center"/>
        </w:trPr>
        <w:tc>
          <w:tcPr>
            <w:tcW w:w="1484" w:type="dxa"/>
            <w:vMerge/>
          </w:tcPr>
          <w:p w14:paraId="5677039F"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2ED2D7C9" w14:textId="77777777" w:rsidR="008B7D19" w:rsidRPr="00F65F4D" w:rsidRDefault="008B7D19" w:rsidP="00245CA8">
            <w:pPr>
              <w:spacing w:before="0" w:after="0" w:line="276" w:lineRule="auto"/>
              <w:jc w:val="left"/>
              <w:rPr>
                <w:rFonts w:cs="Arial"/>
                <w:sz w:val="22"/>
                <w:szCs w:val="22"/>
              </w:rPr>
            </w:pPr>
          </w:p>
        </w:tc>
        <w:tc>
          <w:tcPr>
            <w:tcW w:w="2113" w:type="dxa"/>
            <w:vMerge w:val="restart"/>
            <w:vAlign w:val="center"/>
          </w:tcPr>
          <w:p w14:paraId="69ACF882" w14:textId="77777777" w:rsidR="008B7D19" w:rsidRPr="00F65F4D" w:rsidRDefault="008B7D19" w:rsidP="00245CA8">
            <w:pPr>
              <w:tabs>
                <w:tab w:val="center" w:pos="4513"/>
                <w:tab w:val="right" w:pos="9026"/>
              </w:tabs>
              <w:spacing w:before="0" w:after="0"/>
              <w:jc w:val="left"/>
              <w:rPr>
                <w:rFonts w:cs="Arial"/>
                <w:iCs/>
                <w:sz w:val="22"/>
                <w:szCs w:val="22"/>
              </w:rPr>
            </w:pPr>
            <w:r>
              <w:rPr>
                <w:rFonts w:ascii="Calibri" w:hAnsi="Calibri" w:cs="Arial"/>
                <w:iCs/>
              </w:rPr>
              <w:t>Learners Fee Policy</w:t>
            </w:r>
          </w:p>
        </w:tc>
        <w:tc>
          <w:tcPr>
            <w:tcW w:w="1254" w:type="dxa"/>
            <w:vAlign w:val="center"/>
          </w:tcPr>
          <w:p w14:paraId="2BC67FCD" w14:textId="77777777" w:rsidR="008B7D19" w:rsidRPr="00F65F4D" w:rsidRDefault="008B7D19" w:rsidP="00245CA8">
            <w:pPr>
              <w:spacing w:before="0" w:after="0" w:line="276" w:lineRule="auto"/>
              <w:jc w:val="left"/>
              <w:rPr>
                <w:rFonts w:cs="Arial"/>
                <w:sz w:val="16"/>
                <w:szCs w:val="22"/>
              </w:rPr>
            </w:pPr>
            <w:r w:rsidRPr="00F65F4D">
              <w:rPr>
                <w:rFonts w:cs="Arial"/>
                <w:b/>
                <w:bCs/>
                <w:sz w:val="16"/>
                <w:szCs w:val="22"/>
              </w:rPr>
              <w:t>Date of last review:</w:t>
            </w:r>
          </w:p>
        </w:tc>
        <w:tc>
          <w:tcPr>
            <w:tcW w:w="3755" w:type="dxa"/>
            <w:vAlign w:val="center"/>
          </w:tcPr>
          <w:p w14:paraId="79219683" w14:textId="3A59EF71" w:rsidR="008B7D19" w:rsidRPr="00F65F4D" w:rsidRDefault="00245CA8" w:rsidP="00245CA8">
            <w:pPr>
              <w:spacing w:before="0" w:after="0" w:line="276" w:lineRule="auto"/>
              <w:jc w:val="left"/>
              <w:rPr>
                <w:rFonts w:cs="Arial"/>
                <w:sz w:val="16"/>
                <w:szCs w:val="22"/>
              </w:rPr>
            </w:pPr>
            <w:r>
              <w:rPr>
                <w:rFonts w:cs="Arial"/>
                <w:sz w:val="16"/>
                <w:szCs w:val="22"/>
              </w:rPr>
              <w:t>August</w:t>
            </w:r>
            <w:r w:rsidR="006F0F25">
              <w:rPr>
                <w:rFonts w:cs="Arial"/>
                <w:sz w:val="16"/>
                <w:szCs w:val="22"/>
              </w:rPr>
              <w:t xml:space="preserve"> 2023</w:t>
            </w:r>
          </w:p>
        </w:tc>
      </w:tr>
      <w:tr w:rsidR="008B7D19" w:rsidRPr="00F65F4D" w14:paraId="27456D30" w14:textId="77777777" w:rsidTr="00245CA8">
        <w:trPr>
          <w:cantSplit/>
          <w:trHeight w:val="361"/>
          <w:jc w:val="center"/>
        </w:trPr>
        <w:tc>
          <w:tcPr>
            <w:tcW w:w="1484" w:type="dxa"/>
            <w:vMerge/>
          </w:tcPr>
          <w:p w14:paraId="1FCBF7B3"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6EEA62B2" w14:textId="77777777" w:rsidR="008B7D19" w:rsidRPr="00F65F4D" w:rsidRDefault="008B7D19" w:rsidP="00245CA8">
            <w:pPr>
              <w:spacing w:before="0" w:after="0" w:line="276" w:lineRule="auto"/>
              <w:jc w:val="left"/>
              <w:rPr>
                <w:rFonts w:cs="Arial"/>
                <w:sz w:val="22"/>
                <w:szCs w:val="22"/>
              </w:rPr>
            </w:pPr>
          </w:p>
        </w:tc>
        <w:tc>
          <w:tcPr>
            <w:tcW w:w="2113" w:type="dxa"/>
            <w:vMerge/>
            <w:vAlign w:val="center"/>
          </w:tcPr>
          <w:p w14:paraId="30D92A3F" w14:textId="77777777" w:rsidR="008B7D19" w:rsidRPr="00F65F4D" w:rsidRDefault="008B7D19" w:rsidP="00245CA8">
            <w:pPr>
              <w:spacing w:before="0" w:after="0" w:line="276" w:lineRule="auto"/>
              <w:jc w:val="left"/>
              <w:rPr>
                <w:rFonts w:cs="Arial"/>
                <w:sz w:val="22"/>
                <w:szCs w:val="22"/>
              </w:rPr>
            </w:pPr>
          </w:p>
        </w:tc>
        <w:tc>
          <w:tcPr>
            <w:tcW w:w="1254" w:type="dxa"/>
            <w:vAlign w:val="center"/>
          </w:tcPr>
          <w:p w14:paraId="163675CD" w14:textId="77777777" w:rsidR="008B7D19" w:rsidRPr="00F65F4D" w:rsidRDefault="008B7D19" w:rsidP="00245CA8">
            <w:pPr>
              <w:spacing w:before="0" w:after="0" w:line="276" w:lineRule="auto"/>
              <w:jc w:val="left"/>
              <w:rPr>
                <w:rFonts w:cs="Arial"/>
                <w:b/>
                <w:bCs/>
                <w:sz w:val="16"/>
                <w:szCs w:val="22"/>
              </w:rPr>
            </w:pPr>
            <w:r w:rsidRPr="00F65F4D">
              <w:rPr>
                <w:rFonts w:cs="Arial"/>
                <w:b/>
                <w:bCs/>
                <w:sz w:val="16"/>
                <w:szCs w:val="22"/>
              </w:rPr>
              <w:t>Issued by:</w:t>
            </w:r>
          </w:p>
        </w:tc>
        <w:tc>
          <w:tcPr>
            <w:tcW w:w="3755" w:type="dxa"/>
            <w:vAlign w:val="center"/>
          </w:tcPr>
          <w:p w14:paraId="4251F4D1" w14:textId="2F97F5CF" w:rsidR="008B7D19" w:rsidRPr="00F65F4D" w:rsidRDefault="006F0F25" w:rsidP="00245CA8">
            <w:pPr>
              <w:spacing w:before="0" w:after="0" w:line="276" w:lineRule="auto"/>
              <w:jc w:val="left"/>
              <w:rPr>
                <w:rFonts w:cs="Arial"/>
                <w:sz w:val="16"/>
                <w:szCs w:val="22"/>
              </w:rPr>
            </w:pPr>
            <w:r>
              <w:rPr>
                <w:rFonts w:cs="Arial"/>
                <w:sz w:val="16"/>
                <w:szCs w:val="22"/>
              </w:rPr>
              <w:t>Eleanor Churchward</w:t>
            </w:r>
          </w:p>
          <w:p w14:paraId="5D29CA5E" w14:textId="2743A841" w:rsidR="008B7D19" w:rsidRPr="00F65F4D" w:rsidRDefault="008B7D19" w:rsidP="00245CA8">
            <w:pPr>
              <w:spacing w:before="0" w:after="0" w:line="276" w:lineRule="auto"/>
              <w:jc w:val="left"/>
              <w:rPr>
                <w:rFonts w:cs="Arial"/>
                <w:sz w:val="20"/>
                <w:szCs w:val="22"/>
              </w:rPr>
            </w:pPr>
            <w:r w:rsidRPr="00F65F4D">
              <w:rPr>
                <w:rFonts w:cs="Arial"/>
                <w:sz w:val="16"/>
                <w:szCs w:val="22"/>
              </w:rPr>
              <w:t>Head of LLS</w:t>
            </w:r>
          </w:p>
        </w:tc>
      </w:tr>
      <w:tr w:rsidR="008B7D19" w:rsidRPr="00F65F4D" w14:paraId="0F131219" w14:textId="77777777" w:rsidTr="00245CA8">
        <w:trPr>
          <w:cantSplit/>
          <w:trHeight w:val="469"/>
          <w:jc w:val="center"/>
        </w:trPr>
        <w:tc>
          <w:tcPr>
            <w:tcW w:w="1484" w:type="dxa"/>
            <w:vMerge/>
          </w:tcPr>
          <w:p w14:paraId="2D7A99A3"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5364DBD4" w14:textId="77777777" w:rsidR="008B7D19" w:rsidRPr="00F65F4D" w:rsidRDefault="008B7D19" w:rsidP="00245CA8">
            <w:pPr>
              <w:spacing w:before="0" w:after="0" w:line="276" w:lineRule="auto"/>
              <w:jc w:val="left"/>
              <w:rPr>
                <w:rFonts w:cs="Arial"/>
                <w:sz w:val="22"/>
                <w:szCs w:val="22"/>
              </w:rPr>
            </w:pPr>
          </w:p>
        </w:tc>
        <w:tc>
          <w:tcPr>
            <w:tcW w:w="2113" w:type="dxa"/>
            <w:vMerge/>
            <w:vAlign w:val="center"/>
          </w:tcPr>
          <w:p w14:paraId="5F523725" w14:textId="77777777" w:rsidR="008B7D19" w:rsidRPr="00F65F4D" w:rsidRDefault="008B7D19" w:rsidP="00245CA8">
            <w:pPr>
              <w:spacing w:before="0" w:after="0" w:line="276" w:lineRule="auto"/>
              <w:jc w:val="left"/>
              <w:rPr>
                <w:rFonts w:cs="Arial"/>
                <w:sz w:val="22"/>
                <w:szCs w:val="22"/>
              </w:rPr>
            </w:pPr>
          </w:p>
        </w:tc>
        <w:tc>
          <w:tcPr>
            <w:tcW w:w="1254" w:type="dxa"/>
            <w:vAlign w:val="center"/>
          </w:tcPr>
          <w:p w14:paraId="701A6C31" w14:textId="77777777" w:rsidR="008B7D19" w:rsidRPr="00F65F4D" w:rsidRDefault="008B7D19" w:rsidP="00245CA8">
            <w:pPr>
              <w:spacing w:before="0" w:after="0" w:line="276" w:lineRule="auto"/>
              <w:jc w:val="left"/>
              <w:rPr>
                <w:rFonts w:cs="Arial"/>
                <w:b/>
                <w:bCs/>
                <w:sz w:val="16"/>
                <w:szCs w:val="22"/>
              </w:rPr>
            </w:pPr>
            <w:r w:rsidRPr="00F65F4D">
              <w:rPr>
                <w:rFonts w:cs="Arial"/>
                <w:b/>
                <w:bCs/>
                <w:sz w:val="16"/>
                <w:szCs w:val="22"/>
              </w:rPr>
              <w:t xml:space="preserve">Page </w:t>
            </w:r>
          </w:p>
        </w:tc>
        <w:tc>
          <w:tcPr>
            <w:tcW w:w="3755" w:type="dxa"/>
            <w:vAlign w:val="center"/>
          </w:tcPr>
          <w:p w14:paraId="40B58744" w14:textId="709C6F82" w:rsidR="008B7D19" w:rsidRPr="00F65F4D" w:rsidRDefault="00245CA8" w:rsidP="00245CA8">
            <w:pPr>
              <w:spacing w:before="0" w:after="0" w:line="276" w:lineRule="auto"/>
              <w:jc w:val="left"/>
              <w:rPr>
                <w:rFonts w:cs="Arial"/>
                <w:sz w:val="16"/>
                <w:szCs w:val="22"/>
              </w:rPr>
            </w:pPr>
            <w:r>
              <w:rPr>
                <w:rFonts w:cs="Arial"/>
                <w:sz w:val="16"/>
                <w:szCs w:val="22"/>
              </w:rPr>
              <w:t>1</w:t>
            </w:r>
            <w:r w:rsidR="008B7D19" w:rsidRPr="00F65F4D">
              <w:rPr>
                <w:rFonts w:cs="Arial"/>
                <w:sz w:val="16"/>
                <w:szCs w:val="22"/>
              </w:rPr>
              <w:t xml:space="preserve"> of </w:t>
            </w:r>
            <w:r>
              <w:rPr>
                <w:rFonts w:cs="Arial"/>
                <w:sz w:val="16"/>
                <w:szCs w:val="22"/>
              </w:rPr>
              <w:t>10</w:t>
            </w:r>
          </w:p>
        </w:tc>
      </w:tr>
    </w:tbl>
    <w:p w14:paraId="79E43B37" w14:textId="77777777" w:rsidR="008B7D19" w:rsidRDefault="008B7D19" w:rsidP="00245CA8">
      <w:pPr>
        <w:jc w:val="left"/>
        <w:rPr>
          <w:rFonts w:ascii="Century Gothic" w:hAnsi="Century Gothic"/>
          <w:b/>
        </w:rPr>
      </w:pPr>
    </w:p>
    <w:p w14:paraId="509E62F5" w14:textId="77777777" w:rsidR="008B7D19" w:rsidRPr="008B7D19" w:rsidRDefault="008B7D19" w:rsidP="00245CA8">
      <w:pPr>
        <w:jc w:val="left"/>
        <w:rPr>
          <w:rFonts w:ascii="Century Gothic" w:hAnsi="Century Gothic"/>
        </w:rPr>
      </w:pPr>
    </w:p>
    <w:p w14:paraId="316B84D2" w14:textId="77777777" w:rsidR="008B7D19" w:rsidRDefault="008B7D19" w:rsidP="00245CA8">
      <w:pPr>
        <w:jc w:val="left"/>
        <w:rPr>
          <w:rFonts w:ascii="Century Gothic" w:hAnsi="Century Gothic"/>
          <w:b/>
        </w:rPr>
      </w:pPr>
    </w:p>
    <w:p w14:paraId="37C616B4" w14:textId="5AC810B3"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Sheffield City Council</w:t>
      </w:r>
    </w:p>
    <w:p w14:paraId="483578D2" w14:textId="39A9B6AE"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Lifelong Learning</w:t>
      </w:r>
      <w:r w:rsidR="00245CA8">
        <w:rPr>
          <w:rFonts w:ascii="Century Gothic" w:hAnsi="Century Gothic"/>
          <w:b/>
          <w:sz w:val="48"/>
          <w:szCs w:val="48"/>
        </w:rPr>
        <w:t xml:space="preserve"> and </w:t>
      </w:r>
      <w:r w:rsidRPr="008B7D19">
        <w:rPr>
          <w:rFonts w:ascii="Century Gothic" w:hAnsi="Century Gothic"/>
          <w:b/>
          <w:sz w:val="48"/>
          <w:szCs w:val="48"/>
        </w:rPr>
        <w:t>Skills</w:t>
      </w:r>
    </w:p>
    <w:p w14:paraId="1A229978" w14:textId="5F2361E4"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Education</w:t>
      </w:r>
      <w:r>
        <w:rPr>
          <w:rFonts w:ascii="Century Gothic" w:hAnsi="Century Gothic"/>
          <w:b/>
          <w:sz w:val="48"/>
          <w:szCs w:val="48"/>
        </w:rPr>
        <w:t>/Learning</w:t>
      </w:r>
      <w:r w:rsidRPr="008B7D19">
        <w:rPr>
          <w:rFonts w:ascii="Century Gothic" w:hAnsi="Century Gothic"/>
          <w:b/>
          <w:sz w:val="48"/>
          <w:szCs w:val="48"/>
        </w:rPr>
        <w:t xml:space="preserve"> Fees</w:t>
      </w:r>
    </w:p>
    <w:p w14:paraId="4222D5C5" w14:textId="22940EC2"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Fee Waivers</w:t>
      </w:r>
    </w:p>
    <w:p w14:paraId="6DBDD9A1" w14:textId="0DC7F581" w:rsidR="008B7D19" w:rsidRDefault="008B7D19" w:rsidP="00245CA8">
      <w:pPr>
        <w:jc w:val="left"/>
        <w:rPr>
          <w:rFonts w:ascii="Century Gothic" w:hAnsi="Century Gothic"/>
          <w:b/>
          <w:sz w:val="48"/>
          <w:szCs w:val="48"/>
        </w:rPr>
      </w:pPr>
      <w:r w:rsidRPr="008B7D19">
        <w:rPr>
          <w:rFonts w:ascii="Century Gothic" w:hAnsi="Century Gothic"/>
          <w:b/>
          <w:sz w:val="48"/>
          <w:szCs w:val="48"/>
        </w:rPr>
        <w:t>August 202</w:t>
      </w:r>
      <w:r w:rsidR="006F0F25">
        <w:rPr>
          <w:rFonts w:ascii="Century Gothic" w:hAnsi="Century Gothic"/>
          <w:b/>
          <w:sz w:val="48"/>
          <w:szCs w:val="48"/>
        </w:rPr>
        <w:t>3</w:t>
      </w:r>
      <w:r w:rsidRPr="008B7D19">
        <w:rPr>
          <w:rFonts w:ascii="Century Gothic" w:hAnsi="Century Gothic"/>
          <w:b/>
          <w:sz w:val="48"/>
          <w:szCs w:val="48"/>
        </w:rPr>
        <w:t xml:space="preserve"> to July 202</w:t>
      </w:r>
      <w:r w:rsidR="006F0F25">
        <w:rPr>
          <w:rFonts w:ascii="Century Gothic" w:hAnsi="Century Gothic"/>
          <w:b/>
          <w:sz w:val="48"/>
          <w:szCs w:val="48"/>
        </w:rPr>
        <w:t>4</w:t>
      </w:r>
    </w:p>
    <w:p w14:paraId="28D4D0A9" w14:textId="0755BBBD" w:rsidR="008B7D19" w:rsidRDefault="008B7D19" w:rsidP="00245CA8">
      <w:pPr>
        <w:jc w:val="left"/>
        <w:rPr>
          <w:rFonts w:ascii="Century Gothic" w:hAnsi="Century Gothic"/>
          <w:b/>
          <w:sz w:val="48"/>
          <w:szCs w:val="48"/>
        </w:rPr>
      </w:pPr>
    </w:p>
    <w:p w14:paraId="7F0FFB0D" w14:textId="231F272C" w:rsidR="008B7D19" w:rsidRDefault="008B7D19" w:rsidP="00245CA8">
      <w:pPr>
        <w:jc w:val="left"/>
        <w:rPr>
          <w:rFonts w:ascii="Century Gothic" w:hAnsi="Century Gothic"/>
          <w:b/>
          <w:sz w:val="48"/>
          <w:szCs w:val="48"/>
        </w:rPr>
      </w:pPr>
    </w:p>
    <w:p w14:paraId="7D2E89CA" w14:textId="7D68FD2B" w:rsidR="008B7D19" w:rsidRDefault="008B7D19" w:rsidP="00245CA8">
      <w:pPr>
        <w:jc w:val="left"/>
        <w:rPr>
          <w:rFonts w:ascii="Century Gothic" w:hAnsi="Century Gothic"/>
          <w:b/>
          <w:sz w:val="48"/>
          <w:szCs w:val="48"/>
        </w:rPr>
      </w:pPr>
    </w:p>
    <w:p w14:paraId="3FC56550" w14:textId="12CC904C" w:rsidR="008B7D19" w:rsidRDefault="008B7D19" w:rsidP="00245CA8">
      <w:pPr>
        <w:jc w:val="left"/>
        <w:rPr>
          <w:rFonts w:ascii="Century Gothic" w:hAnsi="Century Gothic"/>
          <w:b/>
          <w:sz w:val="48"/>
          <w:szCs w:val="48"/>
        </w:rPr>
      </w:pPr>
    </w:p>
    <w:p w14:paraId="4CC86C1B" w14:textId="3FE82000" w:rsidR="008B7D19" w:rsidRDefault="008B7D19" w:rsidP="00245CA8">
      <w:pPr>
        <w:jc w:val="left"/>
        <w:rPr>
          <w:rFonts w:ascii="Century Gothic" w:hAnsi="Century Gothic"/>
          <w:b/>
          <w:sz w:val="48"/>
          <w:szCs w:val="48"/>
        </w:rPr>
      </w:pPr>
    </w:p>
    <w:p w14:paraId="42125E89" w14:textId="19458DAD" w:rsidR="008B7D19" w:rsidRPr="008B7D19" w:rsidRDefault="008B7D19" w:rsidP="00245CA8">
      <w:pPr>
        <w:tabs>
          <w:tab w:val="center" w:pos="5102"/>
        </w:tabs>
        <w:jc w:val="left"/>
        <w:rPr>
          <w:rFonts w:ascii="Century Gothic" w:hAnsi="Century Gothic"/>
        </w:rPr>
        <w:sectPr w:rsidR="008B7D19" w:rsidRPr="008B7D19" w:rsidSect="008B7D19">
          <w:footerReference w:type="default" r:id="rId12"/>
          <w:headerReference w:type="first" r:id="rId13"/>
          <w:footerReference w:type="first" r:id="rId14"/>
          <w:pgSz w:w="11907" w:h="16840" w:code="9"/>
          <w:pgMar w:top="1418" w:right="851" w:bottom="1418" w:left="851" w:header="567" w:footer="567" w:gutter="0"/>
          <w:cols w:space="708"/>
          <w:titlePg/>
          <w:docGrid w:linePitch="360"/>
        </w:sectPr>
      </w:pPr>
      <w:r>
        <w:rPr>
          <w:rFonts w:ascii="Century Gothic" w:hAnsi="Century Gothic"/>
        </w:rPr>
        <w:tab/>
      </w:r>
    </w:p>
    <w:p w14:paraId="5828BDE0" w14:textId="1D64C15B" w:rsidR="00937F51" w:rsidRPr="0050209E" w:rsidRDefault="00937F51" w:rsidP="00245CA8">
      <w:pPr>
        <w:pStyle w:val="ListParagraph"/>
        <w:numPr>
          <w:ilvl w:val="0"/>
          <w:numId w:val="35"/>
        </w:numPr>
        <w:jc w:val="left"/>
        <w:rPr>
          <w:rFonts w:ascii="Century Gothic" w:hAnsi="Century Gothic"/>
          <w:b/>
        </w:rPr>
      </w:pPr>
      <w:r w:rsidRPr="008769BB">
        <w:rPr>
          <w:rFonts w:ascii="Century Gothic" w:hAnsi="Century Gothic"/>
          <w:b/>
        </w:rPr>
        <w:lastRenderedPageBreak/>
        <w:t>Purpose:</w:t>
      </w:r>
      <w:r w:rsidR="0050209E">
        <w:rPr>
          <w:rFonts w:ascii="Century Gothic" w:hAnsi="Century Gothic"/>
          <w:b/>
        </w:rPr>
        <w:br/>
      </w:r>
      <w:r w:rsidR="0050209E">
        <w:rPr>
          <w:rFonts w:ascii="Century Gothic" w:hAnsi="Century Gothic"/>
          <w:b/>
        </w:rPr>
        <w:br/>
      </w:r>
      <w:r w:rsidRPr="0050209E">
        <w:rPr>
          <w:rFonts w:ascii="Century Gothic" w:hAnsi="Century Gothic"/>
        </w:rPr>
        <w:t xml:space="preserve">To </w:t>
      </w:r>
      <w:r w:rsidR="0050209E" w:rsidRPr="0050209E">
        <w:rPr>
          <w:rFonts w:ascii="Century Gothic" w:hAnsi="Century Gothic"/>
        </w:rPr>
        <w:t>describe</w:t>
      </w:r>
      <w:r w:rsidRPr="0050209E">
        <w:rPr>
          <w:rFonts w:ascii="Century Gothic" w:hAnsi="Century Gothic"/>
        </w:rPr>
        <w:t xml:space="preserve"> the fees policy relating to courses organised by LLS</w:t>
      </w:r>
      <w:r w:rsidR="00C60E9D" w:rsidRPr="0050209E">
        <w:rPr>
          <w:rFonts w:ascii="Century Gothic" w:hAnsi="Century Gothic"/>
        </w:rPr>
        <w:t>E</w:t>
      </w:r>
      <w:r w:rsidRPr="0050209E">
        <w:rPr>
          <w:rFonts w:ascii="Century Gothic" w:hAnsi="Century Gothic"/>
        </w:rPr>
        <w:t xml:space="preserve"> which are funded by the Education and</w:t>
      </w:r>
      <w:r w:rsidR="00573300" w:rsidRPr="0050209E">
        <w:rPr>
          <w:rFonts w:ascii="Century Gothic" w:hAnsi="Century Gothic"/>
        </w:rPr>
        <w:t xml:space="preserve"> Skills Funding Agency (ESFA)</w:t>
      </w:r>
      <w:r w:rsidR="00C60E9D" w:rsidRPr="0050209E">
        <w:rPr>
          <w:rFonts w:ascii="Century Gothic" w:hAnsi="Century Gothic"/>
        </w:rPr>
        <w:t xml:space="preserve">, </w:t>
      </w:r>
      <w:r w:rsidR="00EF077F" w:rsidRPr="0050209E">
        <w:rPr>
          <w:rFonts w:ascii="Century Gothic" w:hAnsi="Century Gothic"/>
        </w:rPr>
        <w:t>South Yorkshire Mayoral Combined Authority (SYMCA)</w:t>
      </w:r>
      <w:r w:rsidR="00C60E9D" w:rsidRPr="0050209E">
        <w:rPr>
          <w:rFonts w:ascii="Century Gothic" w:hAnsi="Century Gothic"/>
        </w:rPr>
        <w:t>, or any other funding bodies that require a formal policy in relation to this subject</w:t>
      </w:r>
      <w:r w:rsidR="00573300" w:rsidRPr="0050209E">
        <w:rPr>
          <w:rFonts w:ascii="Century Gothic" w:hAnsi="Century Gothic"/>
        </w:rPr>
        <w:t xml:space="preserve">. </w:t>
      </w:r>
      <w:r w:rsidR="0050209E">
        <w:rPr>
          <w:rFonts w:ascii="Century Gothic" w:hAnsi="Century Gothic"/>
        </w:rPr>
        <w:br/>
      </w:r>
      <w:r w:rsidR="0050209E">
        <w:rPr>
          <w:rFonts w:ascii="Century Gothic" w:hAnsi="Century Gothic"/>
        </w:rPr>
        <w:br/>
      </w:r>
      <w:r w:rsidRPr="0050209E">
        <w:rPr>
          <w:rFonts w:ascii="Century Gothic" w:hAnsi="Century Gothic"/>
        </w:rPr>
        <w:t>LLS</w:t>
      </w:r>
      <w:r w:rsidR="00C60E9D" w:rsidRPr="0050209E">
        <w:rPr>
          <w:rFonts w:ascii="Century Gothic" w:hAnsi="Century Gothic"/>
        </w:rPr>
        <w:t>E</w:t>
      </w:r>
      <w:r w:rsidRPr="0050209E">
        <w:rPr>
          <w:rFonts w:ascii="Century Gothic" w:hAnsi="Century Gothic"/>
        </w:rPr>
        <w:t xml:space="preserve"> is obliged by the ESFA</w:t>
      </w:r>
      <w:r w:rsidR="00C60E9D" w:rsidRPr="0050209E">
        <w:rPr>
          <w:rFonts w:ascii="Century Gothic" w:hAnsi="Century Gothic"/>
        </w:rPr>
        <w:t xml:space="preserve"> and </w:t>
      </w:r>
      <w:r w:rsidR="00EF077F" w:rsidRPr="0050209E">
        <w:rPr>
          <w:rFonts w:ascii="Century Gothic" w:hAnsi="Century Gothic"/>
        </w:rPr>
        <w:t>SYMCA</w:t>
      </w:r>
      <w:r w:rsidRPr="0050209E">
        <w:rPr>
          <w:rFonts w:ascii="Century Gothic" w:hAnsi="Century Gothic"/>
        </w:rPr>
        <w:t xml:space="preserve"> to charge fees for its adult learning provision but will endeavour to hold fees at a level that allows those who are most in need to access adult learning. </w:t>
      </w:r>
      <w:proofErr w:type="gramStart"/>
      <w:r w:rsidRPr="0050209E">
        <w:rPr>
          <w:rFonts w:ascii="Century Gothic" w:hAnsi="Century Gothic"/>
        </w:rPr>
        <w:t>i.e.</w:t>
      </w:r>
      <w:proofErr w:type="gramEnd"/>
      <w:r w:rsidRPr="0050209E">
        <w:rPr>
          <w:rFonts w:ascii="Century Gothic" w:hAnsi="Century Gothic"/>
        </w:rPr>
        <w:t xml:space="preserve"> those adults who are in work, but are disadvantaged, have low skills levels and are most in need of access to learning to improve their life chances and </w:t>
      </w:r>
      <w:r w:rsidR="00573300" w:rsidRPr="0050209E">
        <w:rPr>
          <w:rFonts w:ascii="Century Gothic" w:hAnsi="Century Gothic"/>
        </w:rPr>
        <w:t xml:space="preserve">their prospects in employment. </w:t>
      </w:r>
    </w:p>
    <w:p w14:paraId="2E091D0F" w14:textId="77777777" w:rsidR="00573300" w:rsidRPr="00937F51" w:rsidRDefault="00573300" w:rsidP="00245CA8">
      <w:pPr>
        <w:jc w:val="left"/>
        <w:rPr>
          <w:rFonts w:ascii="Century Gothic" w:hAnsi="Century Gothic"/>
        </w:rPr>
      </w:pPr>
    </w:p>
    <w:p w14:paraId="357E2838" w14:textId="52BBF1CE" w:rsidR="005413B0" w:rsidRPr="005413B0" w:rsidRDefault="00937F51" w:rsidP="00245CA8">
      <w:pPr>
        <w:pStyle w:val="ListParagraph"/>
        <w:numPr>
          <w:ilvl w:val="0"/>
          <w:numId w:val="35"/>
        </w:numPr>
        <w:jc w:val="left"/>
        <w:rPr>
          <w:rStyle w:val="Hyperlink"/>
          <w:rFonts w:eastAsia="Arial" w:cs="Arial"/>
        </w:rPr>
      </w:pPr>
      <w:r w:rsidRPr="005413B0">
        <w:rPr>
          <w:rFonts w:ascii="Century Gothic" w:hAnsi="Century Gothic"/>
          <w:b/>
        </w:rPr>
        <w:t>Scope:</w:t>
      </w:r>
      <w:r w:rsidR="0050209E" w:rsidRPr="005413B0">
        <w:rPr>
          <w:rFonts w:ascii="Century Gothic" w:hAnsi="Century Gothic"/>
          <w:b/>
        </w:rPr>
        <w:br/>
      </w:r>
      <w:r w:rsidR="0050209E" w:rsidRPr="005413B0">
        <w:rPr>
          <w:rFonts w:ascii="Century Gothic" w:hAnsi="Century Gothic"/>
          <w:b/>
        </w:rPr>
        <w:br/>
      </w:r>
      <w:r w:rsidRPr="005413B0">
        <w:rPr>
          <w:rFonts w:ascii="Century Gothic" w:hAnsi="Century Gothic"/>
        </w:rPr>
        <w:t>All courses delivered by LLS</w:t>
      </w:r>
      <w:r w:rsidR="00C60E9D" w:rsidRPr="005413B0">
        <w:rPr>
          <w:rFonts w:ascii="Century Gothic" w:hAnsi="Century Gothic"/>
        </w:rPr>
        <w:t>E</w:t>
      </w:r>
      <w:r w:rsidRPr="005413B0">
        <w:rPr>
          <w:rFonts w:ascii="Century Gothic" w:hAnsi="Century Gothic"/>
        </w:rPr>
        <w:t xml:space="preserve"> </w:t>
      </w:r>
      <w:r w:rsidR="00C60E9D" w:rsidRPr="005413B0">
        <w:rPr>
          <w:rFonts w:ascii="Century Gothic" w:hAnsi="Century Gothic"/>
        </w:rPr>
        <w:t>utilising the funding assigned for the</w:t>
      </w:r>
      <w:r w:rsidRPr="005413B0">
        <w:rPr>
          <w:rFonts w:ascii="Century Gothic" w:hAnsi="Century Gothic"/>
        </w:rPr>
        <w:t xml:space="preserve"> Adult Education Budget (AEB), Apprenticeships, Advan</w:t>
      </w:r>
      <w:r w:rsidR="002771E0" w:rsidRPr="005413B0">
        <w:rPr>
          <w:rFonts w:ascii="Century Gothic" w:hAnsi="Century Gothic"/>
        </w:rPr>
        <w:t>ced Learner Loan and Full Cost</w:t>
      </w:r>
      <w:r w:rsidR="00EF077F" w:rsidRPr="005413B0">
        <w:rPr>
          <w:rFonts w:ascii="Century Gothic" w:hAnsi="Century Gothic"/>
        </w:rPr>
        <w:t xml:space="preserve"> courses</w:t>
      </w:r>
      <w:r w:rsidR="002771E0" w:rsidRPr="005413B0">
        <w:rPr>
          <w:rFonts w:ascii="Century Gothic" w:hAnsi="Century Gothic"/>
        </w:rPr>
        <w:t xml:space="preserve">. </w:t>
      </w:r>
      <w:r w:rsidR="00C60E9D" w:rsidRPr="005413B0">
        <w:rPr>
          <w:rFonts w:ascii="Century Gothic" w:hAnsi="Century Gothic"/>
        </w:rPr>
        <w:t xml:space="preserve"> </w:t>
      </w:r>
      <w:r w:rsidR="0050209E" w:rsidRPr="005413B0">
        <w:rPr>
          <w:rFonts w:ascii="Century Gothic" w:hAnsi="Century Gothic"/>
        </w:rPr>
        <w:br/>
      </w:r>
      <w:r w:rsidR="0050209E" w:rsidRPr="005413B0">
        <w:rPr>
          <w:rFonts w:ascii="Century Gothic" w:hAnsi="Century Gothic"/>
        </w:rPr>
        <w:br/>
      </w:r>
      <w:r w:rsidRPr="005413B0">
        <w:rPr>
          <w:rFonts w:ascii="Century Gothic" w:hAnsi="Century Gothic"/>
        </w:rPr>
        <w:t>LLS</w:t>
      </w:r>
      <w:r w:rsidR="00C60E9D" w:rsidRPr="005413B0">
        <w:rPr>
          <w:rFonts w:ascii="Century Gothic" w:hAnsi="Century Gothic"/>
        </w:rPr>
        <w:t>E</w:t>
      </w:r>
      <w:r w:rsidRPr="005413B0">
        <w:rPr>
          <w:rFonts w:ascii="Century Gothic" w:hAnsi="Century Gothic"/>
        </w:rPr>
        <w:t xml:space="preserve"> must comply with the ESFA</w:t>
      </w:r>
      <w:r w:rsidR="00C60E9D" w:rsidRPr="005413B0">
        <w:rPr>
          <w:rFonts w:ascii="Century Gothic" w:hAnsi="Century Gothic"/>
        </w:rPr>
        <w:t xml:space="preserve"> and </w:t>
      </w:r>
      <w:r w:rsidR="00EF077F" w:rsidRPr="005413B0">
        <w:rPr>
          <w:rFonts w:ascii="Century Gothic" w:hAnsi="Century Gothic"/>
        </w:rPr>
        <w:t>SYMCA</w:t>
      </w:r>
      <w:r w:rsidRPr="005413B0">
        <w:rPr>
          <w:rFonts w:ascii="Century Gothic" w:hAnsi="Century Gothic"/>
        </w:rPr>
        <w:t xml:space="preserve"> guidance linked to the Adult Education Budget (AEB) which forms the grant funding that Family and Community Learning (FACES) receives. </w:t>
      </w:r>
      <w:r w:rsidR="003A10BB" w:rsidRPr="005413B0">
        <w:rPr>
          <w:rFonts w:ascii="Century Gothic" w:hAnsi="Century Gothic"/>
        </w:rPr>
        <w:t xml:space="preserve"> </w:t>
      </w:r>
      <w:r w:rsidRPr="005413B0">
        <w:rPr>
          <w:rFonts w:ascii="Century Gothic" w:hAnsi="Century Gothic"/>
        </w:rPr>
        <w:t>Learners</w:t>
      </w:r>
      <w:r w:rsidR="00DF014B" w:rsidRPr="005413B0">
        <w:rPr>
          <w:rFonts w:ascii="Century Gothic" w:hAnsi="Century Gothic"/>
        </w:rPr>
        <w:t>’</w:t>
      </w:r>
      <w:r w:rsidRPr="005413B0">
        <w:rPr>
          <w:rFonts w:ascii="Century Gothic" w:hAnsi="Century Gothic"/>
        </w:rPr>
        <w:t xml:space="preserve"> eligibility and funding is defined in the Funding Rules which can be found on the following website</w:t>
      </w:r>
      <w:r w:rsidR="0087192A" w:rsidRPr="005413B0">
        <w:rPr>
          <w:rFonts w:ascii="Century Gothic" w:hAnsi="Century Gothic"/>
        </w:rPr>
        <w:t>s</w:t>
      </w:r>
      <w:r w:rsidRPr="005413B0">
        <w:rPr>
          <w:rFonts w:ascii="Century Gothic" w:hAnsi="Century Gothic"/>
        </w:rPr>
        <w:t>:</w:t>
      </w:r>
      <w:r w:rsidR="0050209E" w:rsidRPr="005413B0">
        <w:rPr>
          <w:rFonts w:ascii="Century Gothic" w:hAnsi="Century Gothic"/>
        </w:rPr>
        <w:br/>
      </w:r>
      <w:r w:rsidR="0050209E" w:rsidRPr="005413B0">
        <w:rPr>
          <w:rFonts w:ascii="Century Gothic" w:hAnsi="Century Gothic"/>
        </w:rPr>
        <w:br/>
      </w:r>
      <w:hyperlink r:id="rId15">
        <w:r w:rsidR="005413B0" w:rsidRPr="005413B0">
          <w:rPr>
            <w:rStyle w:val="Hyperlink"/>
            <w:rFonts w:eastAsia="Arial" w:cs="Arial"/>
          </w:rPr>
          <w:t>ESFA funded adult education budget: funding rules 2023 to 2024 - GOV.UK (www.gov.uk)</w:t>
        </w:r>
      </w:hyperlink>
      <w:r w:rsidR="005413B0">
        <w:rPr>
          <w:rStyle w:val="Hyperlink"/>
          <w:rFonts w:eastAsia="Arial" w:cs="Arial"/>
        </w:rPr>
        <w:br/>
      </w:r>
    </w:p>
    <w:p w14:paraId="72328EED" w14:textId="77777777" w:rsidR="00F854AD" w:rsidRDefault="00000000" w:rsidP="00245CA8">
      <w:pPr>
        <w:pStyle w:val="ListParagraph"/>
        <w:jc w:val="left"/>
      </w:pPr>
      <w:hyperlink r:id="rId16" w:history="1">
        <w:r w:rsidR="00F854AD">
          <w:rPr>
            <w:rStyle w:val="Hyperlink"/>
          </w:rPr>
          <w:t>Adult Education Budget provider information - South Yorkshire MCA (southyorkshire-ca.gov.uk)</w:t>
        </w:r>
      </w:hyperlink>
    </w:p>
    <w:p w14:paraId="3A20E6E2" w14:textId="2E9055A6" w:rsidR="00573300" w:rsidRPr="005413B0" w:rsidRDefault="0050209E" w:rsidP="00245CA8">
      <w:pPr>
        <w:pStyle w:val="ListParagraph"/>
        <w:jc w:val="left"/>
        <w:rPr>
          <w:rFonts w:ascii="Century Gothic" w:hAnsi="Century Gothic"/>
          <w:b/>
          <w:highlight w:val="yellow"/>
        </w:rPr>
      </w:pPr>
      <w:r w:rsidRPr="005413B0">
        <w:rPr>
          <w:rFonts w:ascii="Century Gothic" w:hAnsi="Century Gothic"/>
        </w:rPr>
        <w:br/>
      </w:r>
      <w:r w:rsidR="00937F51" w:rsidRPr="005413B0">
        <w:rPr>
          <w:rFonts w:ascii="Century Gothic" w:hAnsi="Century Gothic"/>
        </w:rPr>
        <w:t>Our fee</w:t>
      </w:r>
      <w:r w:rsidR="00573300" w:rsidRPr="005413B0">
        <w:rPr>
          <w:rFonts w:ascii="Century Gothic" w:hAnsi="Century Gothic"/>
        </w:rPr>
        <w:t>s</w:t>
      </w:r>
      <w:r w:rsidR="00937F51" w:rsidRPr="005413B0">
        <w:rPr>
          <w:rFonts w:ascii="Century Gothic" w:hAnsi="Century Gothic"/>
        </w:rPr>
        <w:t xml:space="preserve"> policy is based on </w:t>
      </w:r>
      <w:r w:rsidR="003A10BB" w:rsidRPr="005413B0">
        <w:rPr>
          <w:rFonts w:ascii="Century Gothic" w:hAnsi="Century Gothic"/>
        </w:rPr>
        <w:t>a</w:t>
      </w:r>
      <w:r w:rsidR="00937F51" w:rsidRPr="005413B0">
        <w:rPr>
          <w:rFonts w:ascii="Century Gothic" w:hAnsi="Century Gothic"/>
        </w:rPr>
        <w:t xml:space="preserve"> principle </w:t>
      </w:r>
      <w:r w:rsidR="003A10BB" w:rsidRPr="005413B0">
        <w:rPr>
          <w:rFonts w:ascii="Century Gothic" w:hAnsi="Century Gothic"/>
        </w:rPr>
        <w:t xml:space="preserve">set out by the Government </w:t>
      </w:r>
      <w:r w:rsidR="00937F51" w:rsidRPr="005413B0">
        <w:rPr>
          <w:rFonts w:ascii="Century Gothic" w:hAnsi="Century Gothic"/>
        </w:rPr>
        <w:t xml:space="preserve">that </w:t>
      </w:r>
      <w:r w:rsidR="003A10BB" w:rsidRPr="005413B0">
        <w:rPr>
          <w:rFonts w:ascii="Century Gothic" w:hAnsi="Century Gothic"/>
          <w:b/>
          <w:bCs/>
        </w:rPr>
        <w:t>‘those who are able to pay should do so’</w:t>
      </w:r>
      <w:r w:rsidR="00937F51" w:rsidRPr="005413B0">
        <w:rPr>
          <w:rFonts w:ascii="Century Gothic" w:hAnsi="Century Gothic"/>
        </w:rPr>
        <w:t xml:space="preserve">, and that funding should be available to those that need it the most. </w:t>
      </w:r>
      <w:r w:rsidR="003A10BB" w:rsidRPr="005413B0">
        <w:rPr>
          <w:rFonts w:ascii="Century Gothic" w:hAnsi="Century Gothic"/>
        </w:rPr>
        <w:t xml:space="preserve"> </w:t>
      </w:r>
      <w:r w:rsidR="00937F51" w:rsidRPr="005413B0">
        <w:rPr>
          <w:rFonts w:ascii="Century Gothic" w:hAnsi="Century Gothic"/>
        </w:rPr>
        <w:t>Many of our learning courses allow learners to access courses free of charge, or at a discounted rate in line with the principles set out within the funding rules.</w:t>
      </w:r>
      <w:r w:rsidR="00192319" w:rsidRPr="005413B0">
        <w:rPr>
          <w:rFonts w:ascii="Century Gothic" w:hAnsi="Century Gothic"/>
        </w:rPr>
        <w:br/>
      </w:r>
      <w:r w:rsidR="00192319" w:rsidRPr="005413B0">
        <w:rPr>
          <w:rFonts w:ascii="Century Gothic" w:hAnsi="Century Gothic"/>
        </w:rPr>
        <w:br/>
      </w:r>
      <w:r w:rsidR="003A10BB" w:rsidRPr="005413B0">
        <w:rPr>
          <w:rFonts w:ascii="Century Gothic" w:hAnsi="Century Gothic"/>
        </w:rPr>
        <w:t>To</w:t>
      </w:r>
      <w:r w:rsidR="00573300" w:rsidRPr="005413B0">
        <w:rPr>
          <w:rFonts w:ascii="Century Gothic" w:hAnsi="Century Gothic"/>
        </w:rPr>
        <w:t xml:space="preserve"> ensure that it</w:t>
      </w:r>
      <w:r w:rsidR="00374B4E" w:rsidRPr="005413B0">
        <w:rPr>
          <w:rFonts w:ascii="Century Gothic" w:hAnsi="Century Gothic"/>
        </w:rPr>
        <w:t>’</w:t>
      </w:r>
      <w:r w:rsidR="00573300" w:rsidRPr="005413B0">
        <w:rPr>
          <w:rFonts w:ascii="Century Gothic" w:hAnsi="Century Gothic"/>
        </w:rPr>
        <w:t>s learning offer is accessible to the greatest number of people, LLS</w:t>
      </w:r>
      <w:r w:rsidR="003A10BB" w:rsidRPr="005413B0">
        <w:rPr>
          <w:rFonts w:ascii="Century Gothic" w:hAnsi="Century Gothic"/>
        </w:rPr>
        <w:t>E</w:t>
      </w:r>
      <w:r w:rsidR="00573300" w:rsidRPr="005413B0">
        <w:rPr>
          <w:rFonts w:ascii="Century Gothic" w:hAnsi="Century Gothic"/>
        </w:rPr>
        <w:t xml:space="preserve"> has developed its own local policy on, and criteria for, fee reduction and delivery of non-fee bearing opportunities. </w:t>
      </w:r>
      <w:r w:rsidR="003A10BB" w:rsidRPr="005413B0">
        <w:rPr>
          <w:rFonts w:ascii="Century Gothic" w:hAnsi="Century Gothic"/>
        </w:rPr>
        <w:t xml:space="preserve"> </w:t>
      </w:r>
      <w:r w:rsidR="00573300" w:rsidRPr="005413B0">
        <w:rPr>
          <w:rFonts w:ascii="Century Gothic" w:hAnsi="Century Gothic"/>
        </w:rPr>
        <w:t>Any income generated from fees is used to fund more courses</w:t>
      </w:r>
      <w:r w:rsidR="003A10BB" w:rsidRPr="005413B0">
        <w:rPr>
          <w:rFonts w:ascii="Century Gothic" w:hAnsi="Century Gothic"/>
        </w:rPr>
        <w:t>, support the most vulnerable,</w:t>
      </w:r>
      <w:r w:rsidR="00573300" w:rsidRPr="005413B0">
        <w:rPr>
          <w:rFonts w:ascii="Century Gothic" w:hAnsi="Century Gothic"/>
        </w:rPr>
        <w:t xml:space="preserve"> and </w:t>
      </w:r>
      <w:r w:rsidR="003A10BB" w:rsidRPr="005413B0">
        <w:rPr>
          <w:rFonts w:ascii="Century Gothic" w:hAnsi="Century Gothic"/>
        </w:rPr>
        <w:t xml:space="preserve">innovative </w:t>
      </w:r>
      <w:r w:rsidR="00573300" w:rsidRPr="005413B0">
        <w:rPr>
          <w:rFonts w:ascii="Century Gothic" w:hAnsi="Century Gothic"/>
        </w:rPr>
        <w:t xml:space="preserve">growth. </w:t>
      </w:r>
      <w:r w:rsidR="003A10BB" w:rsidRPr="005413B0">
        <w:rPr>
          <w:rFonts w:ascii="Century Gothic" w:hAnsi="Century Gothic"/>
        </w:rPr>
        <w:t xml:space="preserve"> </w:t>
      </w:r>
      <w:r w:rsidR="00573300" w:rsidRPr="005413B0">
        <w:rPr>
          <w:rFonts w:ascii="Century Gothic" w:hAnsi="Century Gothic"/>
        </w:rPr>
        <w:t>The fee policy is based on a rate comparable to other local providers who run similar courses.</w:t>
      </w:r>
    </w:p>
    <w:p w14:paraId="1B4643D8" w14:textId="79FB4FB4" w:rsidR="00937F51" w:rsidRDefault="00937F51" w:rsidP="00245CA8">
      <w:pPr>
        <w:jc w:val="left"/>
        <w:rPr>
          <w:rFonts w:ascii="Century Gothic" w:hAnsi="Century Gothic"/>
        </w:rPr>
      </w:pPr>
    </w:p>
    <w:p w14:paraId="392DAAF2" w14:textId="2803D7D0" w:rsidR="0087192A" w:rsidRDefault="0087192A" w:rsidP="00245CA8">
      <w:pPr>
        <w:jc w:val="left"/>
        <w:rPr>
          <w:rFonts w:ascii="Century Gothic" w:hAnsi="Century Gothic"/>
        </w:rPr>
      </w:pPr>
    </w:p>
    <w:p w14:paraId="367B0E7F" w14:textId="77777777" w:rsidR="0087192A" w:rsidRPr="00937F51" w:rsidRDefault="0087192A" w:rsidP="00245CA8">
      <w:pPr>
        <w:jc w:val="left"/>
        <w:rPr>
          <w:rFonts w:ascii="Century Gothic" w:hAnsi="Century Gothic"/>
        </w:rPr>
      </w:pPr>
    </w:p>
    <w:p w14:paraId="75BFCF28" w14:textId="0A168F14" w:rsidR="00937F51" w:rsidRPr="00192319" w:rsidRDefault="00937F51" w:rsidP="00245CA8">
      <w:pPr>
        <w:pStyle w:val="ListParagraph"/>
        <w:numPr>
          <w:ilvl w:val="0"/>
          <w:numId w:val="35"/>
        </w:numPr>
        <w:jc w:val="left"/>
        <w:rPr>
          <w:rFonts w:ascii="Century Gothic" w:hAnsi="Century Gothic"/>
          <w:b/>
        </w:rPr>
      </w:pPr>
      <w:r w:rsidRPr="008769BB">
        <w:rPr>
          <w:rFonts w:ascii="Century Gothic" w:hAnsi="Century Gothic"/>
          <w:b/>
        </w:rPr>
        <w:lastRenderedPageBreak/>
        <w:t>Responsibilities:</w:t>
      </w:r>
      <w:r w:rsidR="00192319">
        <w:rPr>
          <w:rFonts w:ascii="Century Gothic" w:hAnsi="Century Gothic"/>
          <w:b/>
        </w:rPr>
        <w:br/>
      </w:r>
      <w:r w:rsidR="00192319">
        <w:rPr>
          <w:rFonts w:ascii="Century Gothic" w:hAnsi="Century Gothic"/>
          <w:b/>
        </w:rPr>
        <w:br/>
      </w:r>
      <w:r w:rsidRPr="00192319">
        <w:rPr>
          <w:rFonts w:ascii="Century Gothic" w:hAnsi="Century Gothic"/>
        </w:rPr>
        <w:t>All staff involved with the administration, management and deliv</w:t>
      </w:r>
      <w:r w:rsidR="006F647B" w:rsidRPr="00192319">
        <w:rPr>
          <w:rFonts w:ascii="Century Gothic" w:hAnsi="Century Gothic"/>
        </w:rPr>
        <w:t>ery of courses delivered by LLS</w:t>
      </w:r>
      <w:r w:rsidR="003A10BB" w:rsidRPr="00192319">
        <w:rPr>
          <w:rFonts w:ascii="Century Gothic" w:hAnsi="Century Gothic"/>
        </w:rPr>
        <w:t>E</w:t>
      </w:r>
      <w:r w:rsidR="006F647B" w:rsidRPr="00192319">
        <w:rPr>
          <w:rFonts w:ascii="Century Gothic" w:hAnsi="Century Gothic"/>
        </w:rPr>
        <w:t>.</w:t>
      </w:r>
    </w:p>
    <w:p w14:paraId="5A7B1BB4" w14:textId="77777777" w:rsidR="001727B9" w:rsidRDefault="001727B9" w:rsidP="00245CA8">
      <w:pPr>
        <w:jc w:val="left"/>
        <w:rPr>
          <w:rFonts w:ascii="Century Gothic" w:hAnsi="Century Gothic"/>
        </w:rPr>
      </w:pPr>
    </w:p>
    <w:p w14:paraId="76AFA97F" w14:textId="12B56BD0" w:rsidR="00D80C3C" w:rsidRPr="00E2649C" w:rsidRDefault="0016608C" w:rsidP="00245CA8">
      <w:pPr>
        <w:pStyle w:val="ListParagraph"/>
        <w:numPr>
          <w:ilvl w:val="0"/>
          <w:numId w:val="35"/>
        </w:numPr>
        <w:jc w:val="left"/>
        <w:rPr>
          <w:rFonts w:ascii="Century Gothic" w:hAnsi="Century Gothic"/>
        </w:rPr>
      </w:pPr>
      <w:r w:rsidRPr="008769BB">
        <w:rPr>
          <w:rFonts w:ascii="Century Gothic" w:hAnsi="Century Gothic"/>
          <w:b/>
        </w:rPr>
        <w:t xml:space="preserve">Funding and Tuition </w:t>
      </w:r>
      <w:r w:rsidR="001727B9" w:rsidRPr="008769BB">
        <w:rPr>
          <w:rFonts w:ascii="Century Gothic" w:hAnsi="Century Gothic"/>
          <w:b/>
        </w:rPr>
        <w:t>Fees Statement</w:t>
      </w:r>
      <w:r w:rsidRPr="008769BB">
        <w:rPr>
          <w:rFonts w:ascii="Century Gothic" w:hAnsi="Century Gothic"/>
          <w:b/>
        </w:rPr>
        <w:t xml:space="preserve"> for 202</w:t>
      </w:r>
      <w:r w:rsidR="007B4B51">
        <w:rPr>
          <w:rFonts w:ascii="Century Gothic" w:hAnsi="Century Gothic"/>
          <w:b/>
        </w:rPr>
        <w:t>3</w:t>
      </w:r>
      <w:r w:rsidRPr="008769BB">
        <w:rPr>
          <w:rFonts w:ascii="Century Gothic" w:hAnsi="Century Gothic"/>
          <w:b/>
        </w:rPr>
        <w:t>/202</w:t>
      </w:r>
      <w:r w:rsidR="007B4B51">
        <w:rPr>
          <w:rFonts w:ascii="Century Gothic" w:hAnsi="Century Gothic"/>
          <w:b/>
        </w:rPr>
        <w:t>4</w:t>
      </w:r>
      <w:r w:rsidR="001727B9" w:rsidRPr="008769BB">
        <w:rPr>
          <w:rFonts w:ascii="Century Gothic" w:hAnsi="Century Gothic"/>
          <w:b/>
        </w:rPr>
        <w:t>:</w:t>
      </w:r>
      <w:r w:rsidR="001727B9" w:rsidRPr="00EF077F">
        <w:rPr>
          <w:rFonts w:ascii="Century Gothic" w:hAnsi="Century Gothic"/>
        </w:rPr>
        <w:t xml:space="preserve"> </w:t>
      </w:r>
      <w:r w:rsidR="001727B9" w:rsidRPr="008769BB">
        <w:rPr>
          <w:rFonts w:ascii="MS Mincho" w:eastAsia="MS Mincho" w:hAnsi="MS Mincho" w:cs="MS Mincho"/>
        </w:rPr>
        <w:t> </w:t>
      </w:r>
      <w:r w:rsidR="00E2649C">
        <w:rPr>
          <w:rFonts w:ascii="MS Mincho" w:eastAsia="MS Mincho" w:hAnsi="MS Mincho" w:cs="MS Mincho"/>
        </w:rPr>
        <w:br/>
      </w:r>
      <w:r w:rsidR="00E2649C">
        <w:rPr>
          <w:rFonts w:ascii="MS Mincho" w:eastAsia="MS Mincho" w:hAnsi="MS Mincho" w:cs="MS Mincho"/>
        </w:rPr>
        <w:br/>
      </w:r>
      <w:r w:rsidR="001727B9" w:rsidRPr="00E2649C">
        <w:rPr>
          <w:rFonts w:ascii="Century Gothic" w:hAnsi="Century Gothic"/>
        </w:rPr>
        <w:t>Adult Learners (19 years and over on August 31</w:t>
      </w:r>
      <w:r w:rsidR="001727B9" w:rsidRPr="00E2649C">
        <w:rPr>
          <w:rFonts w:ascii="Century Gothic" w:hAnsi="Century Gothic"/>
          <w:vertAlign w:val="superscript"/>
        </w:rPr>
        <w:t>st</w:t>
      </w:r>
      <w:r w:rsidR="00A00B3D" w:rsidRPr="00E2649C">
        <w:rPr>
          <w:rFonts w:ascii="Century Gothic" w:hAnsi="Century Gothic"/>
        </w:rPr>
        <w:t xml:space="preserve"> at the start of the academic year</w:t>
      </w:r>
      <w:r w:rsidR="001727B9" w:rsidRPr="00E2649C">
        <w:rPr>
          <w:rFonts w:ascii="Century Gothic" w:hAnsi="Century Gothic"/>
        </w:rPr>
        <w:t>) are eligible to pay a fee</w:t>
      </w:r>
      <w:r w:rsidR="003D4F42" w:rsidRPr="00E2649C">
        <w:rPr>
          <w:rFonts w:ascii="Century Gothic" w:hAnsi="Century Gothic"/>
        </w:rPr>
        <w:t xml:space="preserve"> unless covered by fee reduction </w:t>
      </w:r>
      <w:r w:rsidR="005C7A8A">
        <w:rPr>
          <w:rFonts w:ascii="Century Gothic" w:hAnsi="Century Gothic"/>
        </w:rPr>
        <w:t xml:space="preserve">(concession) </w:t>
      </w:r>
      <w:r w:rsidR="003D4F42" w:rsidRPr="00E2649C">
        <w:rPr>
          <w:rFonts w:ascii="Century Gothic" w:hAnsi="Century Gothic"/>
        </w:rPr>
        <w:t>or fee waiver</w:t>
      </w:r>
      <w:r w:rsidR="001727B9" w:rsidRPr="00E2649C">
        <w:rPr>
          <w:rFonts w:ascii="Century Gothic" w:hAnsi="Century Gothic"/>
        </w:rPr>
        <w:t xml:space="preserve">. </w:t>
      </w:r>
      <w:r w:rsidR="00E2649C">
        <w:rPr>
          <w:rFonts w:ascii="Century Gothic" w:hAnsi="Century Gothic"/>
        </w:rPr>
        <w:br/>
      </w:r>
    </w:p>
    <w:p w14:paraId="7D5CCFA4" w14:textId="4C0097DB" w:rsidR="003A10BB" w:rsidRDefault="003A10BB" w:rsidP="00245CA8">
      <w:pPr>
        <w:pStyle w:val="ListParagraph"/>
        <w:numPr>
          <w:ilvl w:val="0"/>
          <w:numId w:val="40"/>
        </w:numPr>
        <w:spacing w:after="200"/>
        <w:ind w:left="1276" w:hanging="425"/>
        <w:jc w:val="left"/>
        <w:rPr>
          <w:rFonts w:ascii="Century Gothic" w:hAnsi="Century Gothic"/>
        </w:rPr>
      </w:pPr>
      <w:r w:rsidRPr="00CC4F90">
        <w:rPr>
          <w:rFonts w:ascii="Century Gothic" w:hAnsi="Century Gothic"/>
        </w:rPr>
        <w:t xml:space="preserve">Many learners </w:t>
      </w:r>
      <w:r w:rsidR="00085FC3">
        <w:rPr>
          <w:rFonts w:ascii="Century Gothic" w:hAnsi="Century Gothic"/>
        </w:rPr>
        <w:t>will be</w:t>
      </w:r>
      <w:r w:rsidRPr="00CC4F90">
        <w:rPr>
          <w:rFonts w:ascii="Century Gothic" w:hAnsi="Century Gothic"/>
        </w:rPr>
        <w:t xml:space="preserve"> able to access courses free of charge.  These courses are paid for with grants received from Central Government. </w:t>
      </w:r>
    </w:p>
    <w:p w14:paraId="4C9A17E5" w14:textId="77777777" w:rsidR="0016608C" w:rsidRPr="0016608C" w:rsidRDefault="0016608C" w:rsidP="00245CA8">
      <w:pPr>
        <w:pStyle w:val="ListParagraph"/>
        <w:numPr>
          <w:ilvl w:val="0"/>
          <w:numId w:val="40"/>
        </w:numPr>
        <w:spacing w:after="200"/>
        <w:ind w:left="1276" w:hanging="425"/>
        <w:jc w:val="left"/>
        <w:rPr>
          <w:rFonts w:ascii="Century Gothic" w:hAnsi="Century Gothic"/>
        </w:rPr>
      </w:pPr>
      <w:r w:rsidRPr="0016608C">
        <w:rPr>
          <w:rFonts w:ascii="Century Gothic" w:hAnsi="Century Gothic"/>
        </w:rPr>
        <w:t xml:space="preserve">Fee level </w:t>
      </w:r>
      <w:r>
        <w:rPr>
          <w:rFonts w:ascii="Century Gothic" w:hAnsi="Century Gothic"/>
        </w:rPr>
        <w:t xml:space="preserve">charges </w:t>
      </w:r>
      <w:r w:rsidRPr="0016608C">
        <w:rPr>
          <w:rFonts w:ascii="Century Gothic" w:hAnsi="Century Gothic"/>
        </w:rPr>
        <w:t xml:space="preserve">will be set according to the resources and staffing requirements for the individual course and advertised in the course brochure. </w:t>
      </w:r>
    </w:p>
    <w:p w14:paraId="4E938342" w14:textId="647A3D2F" w:rsidR="0016608C" w:rsidRPr="00EF7116" w:rsidRDefault="0016608C" w:rsidP="00245CA8">
      <w:pPr>
        <w:pStyle w:val="ListParagraph"/>
        <w:numPr>
          <w:ilvl w:val="0"/>
          <w:numId w:val="40"/>
        </w:numPr>
        <w:spacing w:after="200"/>
        <w:ind w:left="1276" w:hanging="425"/>
        <w:jc w:val="left"/>
        <w:rPr>
          <w:rFonts w:ascii="Century Gothic" w:hAnsi="Century Gothic"/>
        </w:rPr>
      </w:pPr>
      <w:r w:rsidRPr="00EF7116">
        <w:rPr>
          <w:rFonts w:ascii="Century Gothic" w:hAnsi="Century Gothic"/>
        </w:rPr>
        <w:t>There may be instances where a class may be cancelled due to low number</w:t>
      </w:r>
      <w:r w:rsidR="00EF077F">
        <w:rPr>
          <w:rFonts w:ascii="Century Gothic" w:hAnsi="Century Gothic"/>
        </w:rPr>
        <w:t>s</w:t>
      </w:r>
      <w:r>
        <w:rPr>
          <w:rFonts w:ascii="Century Gothic" w:hAnsi="Century Gothic"/>
        </w:rPr>
        <w:t>,</w:t>
      </w:r>
      <w:r w:rsidRPr="00EF7116">
        <w:rPr>
          <w:rFonts w:ascii="Century Gothic" w:hAnsi="Century Gothic"/>
        </w:rPr>
        <w:t xml:space="preserve"> but the service may offer the opportunity to learners t</w:t>
      </w:r>
      <w:r>
        <w:rPr>
          <w:rFonts w:ascii="Century Gothic" w:hAnsi="Century Gothic"/>
        </w:rPr>
        <w:t>hat an</w:t>
      </w:r>
      <w:r w:rsidRPr="00EF7116">
        <w:rPr>
          <w:rFonts w:ascii="Century Gothic" w:hAnsi="Century Gothic"/>
        </w:rPr>
        <w:t xml:space="preserve"> increase</w:t>
      </w:r>
      <w:r>
        <w:rPr>
          <w:rFonts w:ascii="Century Gothic" w:hAnsi="Century Gothic"/>
        </w:rPr>
        <w:t xml:space="preserve"> in</w:t>
      </w:r>
      <w:r w:rsidRPr="00EF7116">
        <w:rPr>
          <w:rFonts w:ascii="Century Gothic" w:hAnsi="Century Gothic"/>
        </w:rPr>
        <w:t xml:space="preserve"> fees </w:t>
      </w:r>
      <w:r>
        <w:rPr>
          <w:rFonts w:ascii="Century Gothic" w:hAnsi="Century Gothic"/>
        </w:rPr>
        <w:t>may</w:t>
      </w:r>
      <w:r w:rsidRPr="00EF7116">
        <w:rPr>
          <w:rFonts w:ascii="Century Gothic" w:hAnsi="Century Gothic"/>
        </w:rPr>
        <w:t xml:space="preserve"> enable the class to run. </w:t>
      </w:r>
    </w:p>
    <w:p w14:paraId="0945C3ED" w14:textId="19C4391A" w:rsidR="00085FC3" w:rsidRPr="005413B0" w:rsidRDefault="00085FC3" w:rsidP="00245CA8">
      <w:pPr>
        <w:pStyle w:val="ListParagraph"/>
        <w:numPr>
          <w:ilvl w:val="0"/>
          <w:numId w:val="40"/>
        </w:numPr>
        <w:spacing w:after="200"/>
        <w:ind w:left="1276" w:hanging="425"/>
        <w:jc w:val="left"/>
        <w:rPr>
          <w:rFonts w:ascii="Century Gothic" w:hAnsi="Century Gothic"/>
        </w:rPr>
      </w:pPr>
      <w:r w:rsidRPr="005413B0">
        <w:rPr>
          <w:rFonts w:ascii="Century Gothic" w:hAnsi="Century Gothic"/>
        </w:rPr>
        <w:t xml:space="preserve">Learners who are eligible for co-funding as specified by the Funding Rules will be funded at a rate of 50% with a maximum of the other 50% being paid by the learner or employer. At the </w:t>
      </w:r>
      <w:r w:rsidR="00E2649C" w:rsidRPr="005413B0">
        <w:rPr>
          <w:rFonts w:ascii="Century Gothic" w:hAnsi="Century Gothic"/>
        </w:rPr>
        <w:t>discretion</w:t>
      </w:r>
      <w:r w:rsidRPr="005413B0">
        <w:rPr>
          <w:rFonts w:ascii="Century Gothic" w:hAnsi="Century Gothic"/>
        </w:rPr>
        <w:t xml:space="preserve"> of LLSE, some courses may be charged at less than 50% for the learner.</w:t>
      </w:r>
    </w:p>
    <w:p w14:paraId="4F80068F" w14:textId="77777777" w:rsidR="0016608C" w:rsidRDefault="0016608C" w:rsidP="00245CA8">
      <w:pPr>
        <w:pStyle w:val="ListParagraph"/>
        <w:numPr>
          <w:ilvl w:val="0"/>
          <w:numId w:val="40"/>
        </w:numPr>
        <w:spacing w:after="200"/>
        <w:ind w:left="1276" w:hanging="425"/>
        <w:jc w:val="left"/>
        <w:rPr>
          <w:rFonts w:ascii="Century Gothic" w:hAnsi="Century Gothic"/>
        </w:rPr>
      </w:pPr>
      <w:r w:rsidRPr="00EF7116">
        <w:rPr>
          <w:rFonts w:ascii="Century Gothic" w:hAnsi="Century Gothic"/>
        </w:rPr>
        <w:t>On co-funded courses where fees are charged, these represent only a proportion of the full cost of the course, with the remainder being paid for with grants from Central Government.</w:t>
      </w:r>
    </w:p>
    <w:p w14:paraId="05BC59AA" w14:textId="4FAB8EF4" w:rsidR="00085FC3" w:rsidRDefault="003A10BB" w:rsidP="00245CA8">
      <w:pPr>
        <w:pStyle w:val="ListParagraph"/>
        <w:numPr>
          <w:ilvl w:val="0"/>
          <w:numId w:val="40"/>
        </w:numPr>
        <w:spacing w:after="200"/>
        <w:ind w:left="1276" w:hanging="425"/>
        <w:jc w:val="left"/>
        <w:rPr>
          <w:rFonts w:ascii="Century Gothic" w:hAnsi="Century Gothic"/>
        </w:rPr>
      </w:pPr>
      <w:r w:rsidRPr="00085FC3">
        <w:rPr>
          <w:rFonts w:ascii="Century Gothic" w:hAnsi="Century Gothic"/>
        </w:rPr>
        <w:t xml:space="preserve">Eligible learners may apply for a concession or financial support to help meet the fees for their course. </w:t>
      </w:r>
    </w:p>
    <w:p w14:paraId="7CAA1A12" w14:textId="77777777" w:rsidR="00E2649C" w:rsidRPr="00D758F2" w:rsidRDefault="00E2649C" w:rsidP="00245CA8">
      <w:pPr>
        <w:pStyle w:val="ListParagraph"/>
        <w:numPr>
          <w:ilvl w:val="0"/>
          <w:numId w:val="40"/>
        </w:numPr>
        <w:spacing w:after="200"/>
        <w:ind w:left="1276" w:hanging="425"/>
        <w:jc w:val="left"/>
        <w:rPr>
          <w:rFonts w:ascii="Century Gothic" w:hAnsi="Century Gothic"/>
        </w:rPr>
      </w:pPr>
      <w:r w:rsidRPr="00D758F2">
        <w:rPr>
          <w:rFonts w:ascii="Century Gothic" w:hAnsi="Century Gothic"/>
        </w:rPr>
        <w:t>LLSE operates 3 fee rates:</w:t>
      </w:r>
    </w:p>
    <w:p w14:paraId="24B72C16" w14:textId="31038A91" w:rsidR="00E2649C" w:rsidRPr="00D758F2" w:rsidRDefault="00E2649C" w:rsidP="00245CA8">
      <w:pPr>
        <w:pStyle w:val="ListParagraph"/>
        <w:numPr>
          <w:ilvl w:val="1"/>
          <w:numId w:val="40"/>
        </w:numPr>
        <w:spacing w:after="200"/>
        <w:ind w:left="1843" w:hanging="567"/>
        <w:jc w:val="left"/>
        <w:rPr>
          <w:rFonts w:ascii="Century Gothic" w:hAnsi="Century Gothic"/>
        </w:rPr>
      </w:pPr>
      <w:r w:rsidRPr="00D758F2">
        <w:rPr>
          <w:rFonts w:ascii="Century Gothic" w:hAnsi="Century Gothic"/>
        </w:rPr>
        <w:t>Full fee</w:t>
      </w:r>
      <w:r w:rsidR="00420EB0" w:rsidRPr="00D758F2">
        <w:rPr>
          <w:rFonts w:ascii="Century Gothic" w:hAnsi="Century Gothic"/>
        </w:rPr>
        <w:t xml:space="preserve"> </w:t>
      </w:r>
    </w:p>
    <w:p w14:paraId="22231219" w14:textId="50DB7DB9" w:rsidR="00E2649C" w:rsidRPr="00D758F2" w:rsidRDefault="005C7A8A" w:rsidP="00245CA8">
      <w:pPr>
        <w:pStyle w:val="ListParagraph"/>
        <w:numPr>
          <w:ilvl w:val="1"/>
          <w:numId w:val="40"/>
        </w:numPr>
        <w:spacing w:after="200"/>
        <w:ind w:left="1843" w:hanging="567"/>
        <w:jc w:val="left"/>
        <w:rPr>
          <w:rFonts w:ascii="Century Gothic" w:hAnsi="Century Gothic"/>
        </w:rPr>
      </w:pPr>
      <w:r w:rsidRPr="00D758F2">
        <w:rPr>
          <w:rFonts w:ascii="Century Gothic" w:hAnsi="Century Gothic"/>
        </w:rPr>
        <w:t xml:space="preserve">Concessionary </w:t>
      </w:r>
      <w:r w:rsidR="00E2649C" w:rsidRPr="00D758F2">
        <w:rPr>
          <w:rFonts w:ascii="Century Gothic" w:hAnsi="Century Gothic"/>
        </w:rPr>
        <w:t>fee</w:t>
      </w:r>
    </w:p>
    <w:p w14:paraId="039816AA" w14:textId="5628DE1A" w:rsidR="00E2649C" w:rsidRPr="00D758F2" w:rsidRDefault="00E2649C" w:rsidP="00245CA8">
      <w:pPr>
        <w:pStyle w:val="ListParagraph"/>
        <w:numPr>
          <w:ilvl w:val="1"/>
          <w:numId w:val="40"/>
        </w:numPr>
        <w:spacing w:after="200"/>
        <w:ind w:left="1843" w:hanging="567"/>
        <w:jc w:val="left"/>
        <w:rPr>
          <w:rFonts w:ascii="Century Gothic" w:hAnsi="Century Gothic"/>
        </w:rPr>
      </w:pPr>
      <w:r w:rsidRPr="00D758F2">
        <w:rPr>
          <w:rFonts w:ascii="Century Gothic" w:hAnsi="Century Gothic"/>
        </w:rPr>
        <w:t>Fee waiver</w:t>
      </w:r>
    </w:p>
    <w:p w14:paraId="0B7B393A" w14:textId="475D8F77" w:rsidR="00EF077F" w:rsidRPr="00D758F2" w:rsidRDefault="00EF077F" w:rsidP="00245CA8">
      <w:pPr>
        <w:pStyle w:val="ListParagraph"/>
        <w:numPr>
          <w:ilvl w:val="0"/>
          <w:numId w:val="40"/>
        </w:numPr>
        <w:spacing w:after="200"/>
        <w:ind w:left="1276" w:hanging="425"/>
        <w:jc w:val="left"/>
        <w:rPr>
          <w:rFonts w:ascii="Century Gothic" w:hAnsi="Century Gothic"/>
        </w:rPr>
      </w:pPr>
      <w:r w:rsidRPr="00D758F2">
        <w:rPr>
          <w:rFonts w:ascii="Century Gothic" w:hAnsi="Century Gothic"/>
        </w:rPr>
        <w:t xml:space="preserve">Learning at level 3 or above may or may not be selected from the funded Lifetime Skills </w:t>
      </w:r>
      <w:r w:rsidR="00331A68" w:rsidRPr="00D758F2">
        <w:rPr>
          <w:rFonts w:ascii="Century Gothic" w:hAnsi="Century Gothic"/>
        </w:rPr>
        <w:t>Guarantee</w:t>
      </w:r>
      <w:r w:rsidR="00331A68">
        <w:rPr>
          <w:rFonts w:ascii="Century Gothic" w:hAnsi="Century Gothic"/>
        </w:rPr>
        <w:t xml:space="preserve"> (</w:t>
      </w:r>
      <w:r w:rsidR="00453F20">
        <w:rPr>
          <w:rFonts w:ascii="Century Gothic" w:hAnsi="Century Gothic"/>
        </w:rPr>
        <w:t>LSG)</w:t>
      </w:r>
      <w:r w:rsidRPr="00D758F2">
        <w:rPr>
          <w:rFonts w:ascii="Century Gothic" w:hAnsi="Century Gothic"/>
        </w:rPr>
        <w:t xml:space="preserve"> – where the course is part of the LSG list</w:t>
      </w:r>
      <w:r w:rsidR="00D74093" w:rsidRPr="00D758F2">
        <w:rPr>
          <w:rFonts w:ascii="Century Gothic" w:hAnsi="Century Gothic"/>
        </w:rPr>
        <w:t>,</w:t>
      </w:r>
      <w:r w:rsidRPr="00D758F2">
        <w:rPr>
          <w:rFonts w:ascii="Century Gothic" w:hAnsi="Century Gothic"/>
        </w:rPr>
        <w:t xml:space="preserve"> a learner must not already hold a level 3 qualification </w:t>
      </w:r>
      <w:r w:rsidR="00D74093" w:rsidRPr="00D758F2">
        <w:rPr>
          <w:rFonts w:ascii="Century Gothic" w:hAnsi="Century Gothic"/>
        </w:rPr>
        <w:t>to receive this as a funded course (refer to funding rules).</w:t>
      </w:r>
      <w:r w:rsidR="00A00CF6" w:rsidRPr="00D758F2">
        <w:rPr>
          <w:rFonts w:ascii="Century Gothic" w:hAnsi="Century Gothic"/>
        </w:rPr>
        <w:t xml:space="preserve">  </w:t>
      </w:r>
    </w:p>
    <w:p w14:paraId="3FCD0D6D" w14:textId="77777777" w:rsidR="00E11F04" w:rsidRDefault="003A10BB" w:rsidP="00245CA8">
      <w:pPr>
        <w:pStyle w:val="ListParagraph"/>
        <w:numPr>
          <w:ilvl w:val="0"/>
          <w:numId w:val="40"/>
        </w:numPr>
        <w:spacing w:after="200"/>
        <w:ind w:left="1276" w:hanging="425"/>
        <w:jc w:val="left"/>
        <w:rPr>
          <w:rFonts w:ascii="Century Gothic" w:hAnsi="Century Gothic"/>
        </w:rPr>
      </w:pPr>
      <w:r w:rsidRPr="00D74093">
        <w:rPr>
          <w:rFonts w:ascii="Century Gothic" w:hAnsi="Century Gothic"/>
        </w:rPr>
        <w:t xml:space="preserve">Learners aged 19+ joining a qualification course at Level 3 or above </w:t>
      </w:r>
      <w:r w:rsidR="00EF077F" w:rsidRPr="00D74093">
        <w:rPr>
          <w:rFonts w:ascii="Century Gothic" w:hAnsi="Century Gothic"/>
        </w:rPr>
        <w:t>may</w:t>
      </w:r>
      <w:r w:rsidRPr="00D74093">
        <w:rPr>
          <w:rFonts w:ascii="Century Gothic" w:hAnsi="Century Gothic"/>
        </w:rPr>
        <w:t xml:space="preserve"> </w:t>
      </w:r>
      <w:proofErr w:type="gramStart"/>
      <w:r w:rsidRPr="00D74093">
        <w:rPr>
          <w:rFonts w:ascii="Century Gothic" w:hAnsi="Century Gothic"/>
        </w:rPr>
        <w:t>not</w:t>
      </w:r>
      <w:proofErr w:type="gramEnd"/>
      <w:r w:rsidRPr="00D74093">
        <w:rPr>
          <w:rFonts w:ascii="Century Gothic" w:hAnsi="Century Gothic"/>
        </w:rPr>
        <w:t xml:space="preserve"> eligible for grant funding but may be eligible to apply for an Advanced Learning </w:t>
      </w:r>
      <w:r w:rsidRPr="00E2649C">
        <w:rPr>
          <w:rFonts w:ascii="Century Gothic" w:hAnsi="Century Gothic"/>
        </w:rPr>
        <w:t>Loan to cover the cost of their course</w:t>
      </w:r>
      <w:r w:rsidR="00E2649C" w:rsidRPr="00E2649C">
        <w:rPr>
          <w:rFonts w:ascii="Century Gothic" w:hAnsi="Century Gothic"/>
        </w:rPr>
        <w:t xml:space="preserve"> </w:t>
      </w:r>
    </w:p>
    <w:p w14:paraId="6BBCB01E" w14:textId="44748015" w:rsidR="00E2649C" w:rsidRPr="00E11F04" w:rsidRDefault="00E11F04" w:rsidP="00245CA8">
      <w:pPr>
        <w:pStyle w:val="ListParagraph"/>
        <w:numPr>
          <w:ilvl w:val="0"/>
          <w:numId w:val="40"/>
        </w:numPr>
        <w:spacing w:after="200"/>
        <w:ind w:left="1276" w:hanging="425"/>
        <w:jc w:val="left"/>
        <w:rPr>
          <w:rFonts w:ascii="Century Gothic" w:hAnsi="Century Gothic"/>
        </w:rPr>
      </w:pPr>
      <w:r w:rsidRPr="00E2649C">
        <w:rPr>
          <w:rFonts w:ascii="Century Gothic" w:hAnsi="Century Gothic"/>
        </w:rPr>
        <w:t>Adult learners who are on an income-based benefit (see point 1</w:t>
      </w:r>
      <w:r w:rsidR="00CB09E1">
        <w:rPr>
          <w:rFonts w:ascii="Century Gothic" w:hAnsi="Century Gothic"/>
        </w:rPr>
        <w:t>6</w:t>
      </w:r>
      <w:r w:rsidR="00331A68" w:rsidRPr="00E2649C">
        <w:rPr>
          <w:rFonts w:ascii="Century Gothic" w:hAnsi="Century Gothic"/>
        </w:rPr>
        <w:t>) or</w:t>
      </w:r>
      <w:r w:rsidR="00BA6D46">
        <w:rPr>
          <w:rFonts w:ascii="Century Gothic" w:hAnsi="Century Gothic"/>
        </w:rPr>
        <w:t xml:space="preserve"> are employed/self-employed earning </w:t>
      </w:r>
      <w:r w:rsidR="008B4289">
        <w:rPr>
          <w:rFonts w:ascii="Century Gothic" w:hAnsi="Century Gothic"/>
        </w:rPr>
        <w:t xml:space="preserve">an annual gross salary </w:t>
      </w:r>
      <w:r w:rsidR="008B4289" w:rsidRPr="00A83FA6">
        <w:rPr>
          <w:rFonts w:ascii="Century Gothic" w:hAnsi="Century Gothic"/>
        </w:rPr>
        <w:t>of</w:t>
      </w:r>
      <w:r w:rsidRPr="00A83FA6">
        <w:rPr>
          <w:rFonts w:ascii="Century Gothic" w:hAnsi="Century Gothic"/>
        </w:rPr>
        <w:t xml:space="preserve"> £</w:t>
      </w:r>
      <w:r w:rsidR="000C677A" w:rsidRPr="00A83FA6">
        <w:rPr>
          <w:rFonts w:ascii="Century Gothic" w:hAnsi="Century Gothic"/>
        </w:rPr>
        <w:t>20,319</w:t>
      </w:r>
      <w:r w:rsidR="008B4289" w:rsidRPr="00A83FA6">
        <w:rPr>
          <w:rFonts w:ascii="Century Gothic" w:hAnsi="Century Gothic"/>
        </w:rPr>
        <w:t>,</w:t>
      </w:r>
      <w:r w:rsidRPr="00E2649C">
        <w:rPr>
          <w:rFonts w:ascii="Century Gothic" w:hAnsi="Century Gothic"/>
        </w:rPr>
        <w:t xml:space="preserve"> will not pay course fees on production of the required evidence.</w:t>
      </w:r>
    </w:p>
    <w:p w14:paraId="40BB3D03" w14:textId="74E14290" w:rsidR="00EF077F" w:rsidRPr="00245CA8" w:rsidRDefault="00E2649C" w:rsidP="00245CA8">
      <w:pPr>
        <w:pStyle w:val="ListParagraph"/>
        <w:numPr>
          <w:ilvl w:val="0"/>
          <w:numId w:val="40"/>
        </w:numPr>
        <w:spacing w:after="200"/>
        <w:ind w:left="1276" w:hanging="425"/>
        <w:jc w:val="left"/>
        <w:rPr>
          <w:rFonts w:ascii="Century Gothic" w:hAnsi="Century Gothic"/>
        </w:rPr>
      </w:pPr>
      <w:r w:rsidRPr="00E2649C">
        <w:rPr>
          <w:rFonts w:ascii="Century Gothic" w:hAnsi="Century Gothic"/>
        </w:rPr>
        <w:t xml:space="preserve">Learners who do not meet funding eligibility criteria will pay the full cost of the course fee. </w:t>
      </w:r>
    </w:p>
    <w:p w14:paraId="7F4524A2" w14:textId="0A84C134" w:rsidR="00855A6D" w:rsidRPr="00192319" w:rsidRDefault="00855A6D" w:rsidP="00245CA8">
      <w:pPr>
        <w:pStyle w:val="Default"/>
        <w:numPr>
          <w:ilvl w:val="0"/>
          <w:numId w:val="35"/>
        </w:numPr>
        <w:rPr>
          <w:rFonts w:ascii="Century Gothic" w:hAnsi="Century Gothic" w:cs="Times New Roman"/>
          <w:b/>
          <w:bCs/>
          <w:color w:val="auto"/>
          <w:lang w:eastAsia="en-US"/>
        </w:rPr>
      </w:pPr>
      <w:r w:rsidRPr="00192319">
        <w:rPr>
          <w:rFonts w:ascii="Century Gothic" w:hAnsi="Century Gothic" w:cs="Times New Roman"/>
          <w:b/>
          <w:bCs/>
          <w:color w:val="auto"/>
          <w:lang w:eastAsia="en-US"/>
        </w:rPr>
        <w:lastRenderedPageBreak/>
        <w:t xml:space="preserve">Evidence for fee </w:t>
      </w:r>
      <w:r w:rsidR="00420EB0">
        <w:rPr>
          <w:rFonts w:ascii="Century Gothic" w:hAnsi="Century Gothic" w:cs="Times New Roman"/>
          <w:b/>
          <w:bCs/>
          <w:color w:val="auto"/>
          <w:lang w:eastAsia="en-US"/>
        </w:rPr>
        <w:t>waiver</w:t>
      </w:r>
    </w:p>
    <w:p w14:paraId="5B5FAA79" w14:textId="3F527E52" w:rsidR="0016608C" w:rsidRPr="00D71B05" w:rsidRDefault="00192319" w:rsidP="00245CA8">
      <w:pPr>
        <w:pStyle w:val="ListParagraph"/>
        <w:jc w:val="left"/>
        <w:rPr>
          <w:rFonts w:ascii="Century Gothic" w:hAnsi="Century Gothic"/>
        </w:rPr>
      </w:pPr>
      <w:r>
        <w:rPr>
          <w:rFonts w:ascii="Century Gothic" w:hAnsi="Century Gothic"/>
        </w:rPr>
        <w:br/>
      </w:r>
      <w:r w:rsidR="00855A6D" w:rsidRPr="00D71B05">
        <w:rPr>
          <w:rFonts w:ascii="Century Gothic" w:hAnsi="Century Gothic"/>
        </w:rPr>
        <w:t xml:space="preserve">Learners entitled to fee </w:t>
      </w:r>
      <w:r w:rsidR="00420EB0" w:rsidRPr="00D71B05">
        <w:rPr>
          <w:rFonts w:ascii="Century Gothic" w:hAnsi="Century Gothic"/>
        </w:rPr>
        <w:t>waiver</w:t>
      </w:r>
      <w:r w:rsidR="00855A6D" w:rsidRPr="00D71B05">
        <w:rPr>
          <w:rFonts w:ascii="Century Gothic" w:hAnsi="Century Gothic"/>
        </w:rPr>
        <w:t xml:space="preserve"> will be asked to bring relevant proof when they enrol on the programme</w:t>
      </w:r>
      <w:r w:rsidR="00E2649C" w:rsidRPr="00D71B05">
        <w:rPr>
          <w:rFonts w:ascii="Century Gothic" w:hAnsi="Century Gothic"/>
        </w:rPr>
        <w:t>.</w:t>
      </w:r>
    </w:p>
    <w:p w14:paraId="4EAE21B8" w14:textId="77777777" w:rsidR="0087192A" w:rsidRPr="00D71B05" w:rsidRDefault="0087192A" w:rsidP="00245CA8">
      <w:pPr>
        <w:pStyle w:val="ListParagraph"/>
        <w:jc w:val="left"/>
        <w:rPr>
          <w:rFonts w:ascii="Century Gothic" w:hAnsi="Century Gothic"/>
        </w:rPr>
      </w:pPr>
    </w:p>
    <w:p w14:paraId="4D645A2D" w14:textId="356B1DCB" w:rsidR="000B787D" w:rsidRPr="00D71B05" w:rsidRDefault="0016608C" w:rsidP="00245CA8">
      <w:pPr>
        <w:pStyle w:val="ListParagraph"/>
        <w:numPr>
          <w:ilvl w:val="0"/>
          <w:numId w:val="35"/>
        </w:numPr>
        <w:jc w:val="left"/>
        <w:rPr>
          <w:rFonts w:ascii="Century Gothic" w:eastAsia="MS Mincho" w:hAnsi="Century Gothic" w:cs="MS Mincho"/>
          <w:b/>
        </w:rPr>
      </w:pPr>
      <w:r w:rsidRPr="00D71B05">
        <w:rPr>
          <w:rFonts w:ascii="Century Gothic" w:eastAsia="MS Mincho" w:hAnsi="Century Gothic" w:cs="MS Mincho"/>
          <w:b/>
        </w:rPr>
        <w:t>Level of Government Contribution for Academic Year 202</w:t>
      </w:r>
      <w:r w:rsidR="006C319A" w:rsidRPr="00D71B05">
        <w:rPr>
          <w:rFonts w:ascii="Century Gothic" w:eastAsia="MS Mincho" w:hAnsi="Century Gothic" w:cs="MS Mincho"/>
          <w:b/>
        </w:rPr>
        <w:t>3</w:t>
      </w:r>
      <w:r w:rsidRPr="00D71B05">
        <w:rPr>
          <w:rFonts w:ascii="Century Gothic" w:eastAsia="MS Mincho" w:hAnsi="Century Gothic" w:cs="MS Mincho"/>
          <w:b/>
        </w:rPr>
        <w:t>/202</w:t>
      </w:r>
      <w:r w:rsidR="006C319A" w:rsidRPr="00D71B05">
        <w:rPr>
          <w:rFonts w:ascii="Century Gothic" w:eastAsia="MS Mincho" w:hAnsi="Century Gothic" w:cs="MS Mincho"/>
          <w:b/>
        </w:rPr>
        <w:t>4</w:t>
      </w:r>
      <w:r w:rsidR="00D75EEA" w:rsidRPr="00D71B05">
        <w:rPr>
          <w:rFonts w:ascii="Century Gothic" w:eastAsia="MS Mincho" w:hAnsi="Century Gothic" w:cs="MS Mincho"/>
          <w:b/>
        </w:rPr>
        <w:t>:</w:t>
      </w:r>
      <w:r w:rsidR="002333C2" w:rsidRPr="00D71B05">
        <w:rPr>
          <w:rFonts w:ascii="Century Gothic" w:eastAsia="MS Mincho" w:hAnsi="Century Gothic" w:cs="MS Mincho"/>
          <w:b/>
        </w:rPr>
        <w:br/>
      </w: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5"/>
        <w:gridCol w:w="3930"/>
        <w:gridCol w:w="1701"/>
      </w:tblGrid>
      <w:tr w:rsidR="00937C4F" w14:paraId="37EF2321" w14:textId="77777777" w:rsidTr="00937C4F">
        <w:trPr>
          <w:tblHeader/>
        </w:trPr>
        <w:tc>
          <w:tcPr>
            <w:tcW w:w="9356" w:type="dxa"/>
            <w:gridSpan w:val="3"/>
            <w:shd w:val="clear" w:color="auto" w:fill="D0CECE" w:themeFill="background2" w:themeFillShade="E6"/>
            <w:tcMar>
              <w:top w:w="150" w:type="dxa"/>
              <w:left w:w="0" w:type="dxa"/>
              <w:bottom w:w="150" w:type="dxa"/>
              <w:right w:w="300" w:type="dxa"/>
            </w:tcMar>
          </w:tcPr>
          <w:p w14:paraId="280A8DD0" w14:textId="799E08A0" w:rsidR="00937C4F" w:rsidRPr="00937C4F" w:rsidRDefault="00937C4F" w:rsidP="00245CA8">
            <w:pPr>
              <w:pStyle w:val="TableBold"/>
              <w:rPr>
                <w:bCs/>
                <w:sz w:val="28"/>
                <w:szCs w:val="28"/>
              </w:rPr>
            </w:pPr>
            <w:r>
              <w:rPr>
                <w:rFonts w:eastAsia="MS Mincho" w:cs="MS Mincho"/>
                <w:bCs/>
                <w:sz w:val="28"/>
                <w:szCs w:val="28"/>
              </w:rPr>
              <w:t xml:space="preserve">For </w:t>
            </w:r>
            <w:r w:rsidRPr="00937C4F">
              <w:rPr>
                <w:rFonts w:eastAsia="MS Mincho" w:cs="MS Mincho"/>
                <w:bCs/>
                <w:sz w:val="28"/>
                <w:szCs w:val="28"/>
              </w:rPr>
              <w:t>19- to 23-year-olds</w:t>
            </w:r>
          </w:p>
        </w:tc>
      </w:tr>
      <w:tr w:rsidR="00555547" w14:paraId="510770AA" w14:textId="77777777" w:rsidTr="00937C4F">
        <w:trPr>
          <w:tblHeader/>
        </w:trPr>
        <w:tc>
          <w:tcPr>
            <w:tcW w:w="3725" w:type="dxa"/>
            <w:shd w:val="clear" w:color="auto" w:fill="FFFFFF"/>
            <w:tcMar>
              <w:top w:w="150" w:type="dxa"/>
              <w:left w:w="0" w:type="dxa"/>
              <w:bottom w:w="150" w:type="dxa"/>
              <w:right w:w="300" w:type="dxa"/>
            </w:tcMar>
            <w:hideMark/>
          </w:tcPr>
          <w:p w14:paraId="03387C13" w14:textId="77777777" w:rsidR="00555547" w:rsidRPr="00937C4F" w:rsidRDefault="00555547" w:rsidP="00245CA8">
            <w:pPr>
              <w:pStyle w:val="TableBold"/>
              <w:ind w:left="146"/>
              <w:rPr>
                <w:sz w:val="24"/>
                <w:szCs w:val="24"/>
              </w:rPr>
            </w:pPr>
            <w:r w:rsidRPr="00937C4F">
              <w:rPr>
                <w:sz w:val="24"/>
                <w:szCs w:val="24"/>
              </w:rPr>
              <w:t>Provision</w:t>
            </w:r>
          </w:p>
        </w:tc>
        <w:tc>
          <w:tcPr>
            <w:tcW w:w="3930" w:type="dxa"/>
            <w:shd w:val="clear" w:color="auto" w:fill="FFFFFF"/>
          </w:tcPr>
          <w:p w14:paraId="3FC69BC0" w14:textId="059AEBD9" w:rsidR="00555547" w:rsidRPr="00937C4F" w:rsidRDefault="00555547" w:rsidP="00245CA8">
            <w:pPr>
              <w:pStyle w:val="TableBold"/>
              <w:ind w:left="82"/>
              <w:rPr>
                <w:sz w:val="24"/>
                <w:szCs w:val="24"/>
              </w:rPr>
            </w:pPr>
            <w:r w:rsidRPr="00937C4F">
              <w:rPr>
                <w:sz w:val="24"/>
                <w:szCs w:val="24"/>
              </w:rPr>
              <w:t>Notes and eligibility</w:t>
            </w:r>
          </w:p>
        </w:tc>
        <w:tc>
          <w:tcPr>
            <w:tcW w:w="1701" w:type="dxa"/>
            <w:shd w:val="clear" w:color="auto" w:fill="FFFFFF"/>
          </w:tcPr>
          <w:p w14:paraId="6D2C9503" w14:textId="5B19345A" w:rsidR="00555547" w:rsidRPr="00937C4F" w:rsidRDefault="00555547" w:rsidP="00245CA8">
            <w:pPr>
              <w:pStyle w:val="TableBold"/>
              <w:rPr>
                <w:sz w:val="24"/>
                <w:szCs w:val="24"/>
              </w:rPr>
            </w:pPr>
            <w:r w:rsidRPr="00937C4F">
              <w:rPr>
                <w:sz w:val="24"/>
                <w:szCs w:val="24"/>
              </w:rPr>
              <w:t>Funding</w:t>
            </w:r>
          </w:p>
        </w:tc>
      </w:tr>
      <w:tr w:rsidR="00555547" w:rsidRPr="000D3012" w14:paraId="0CD2062E" w14:textId="77777777" w:rsidTr="00937C4F">
        <w:trPr>
          <w:cantSplit/>
        </w:trPr>
        <w:tc>
          <w:tcPr>
            <w:tcW w:w="3725" w:type="dxa"/>
            <w:shd w:val="clear" w:color="auto" w:fill="FFFFFF"/>
            <w:tcMar>
              <w:top w:w="150" w:type="dxa"/>
              <w:left w:w="0" w:type="dxa"/>
              <w:bottom w:w="150" w:type="dxa"/>
              <w:right w:w="300" w:type="dxa"/>
            </w:tcMar>
            <w:hideMark/>
          </w:tcPr>
          <w:p w14:paraId="2579FDE7" w14:textId="7AF88743" w:rsidR="00555547" w:rsidRPr="00937C4F" w:rsidRDefault="00555547" w:rsidP="00245CA8">
            <w:pPr>
              <w:pStyle w:val="TableText"/>
              <w:ind w:left="146"/>
              <w:rPr>
                <w:sz w:val="24"/>
                <w:szCs w:val="24"/>
              </w:rPr>
            </w:pPr>
            <w:r w:rsidRPr="00937C4F">
              <w:rPr>
                <w:rFonts w:cs="Arial"/>
                <w:sz w:val="24"/>
                <w:szCs w:val="24"/>
              </w:rPr>
              <w:t>English and maths</w:t>
            </w:r>
            <w:r w:rsidRPr="00937C4F">
              <w:rPr>
                <w:sz w:val="24"/>
                <w:szCs w:val="24"/>
              </w:rPr>
              <w:t xml:space="preserve"> up to and including level 2. </w:t>
            </w:r>
          </w:p>
        </w:tc>
        <w:tc>
          <w:tcPr>
            <w:tcW w:w="3930" w:type="dxa"/>
            <w:shd w:val="clear" w:color="auto" w:fill="FFFFFF"/>
          </w:tcPr>
          <w:p w14:paraId="008E1945" w14:textId="23568819" w:rsidR="00555547" w:rsidRPr="00937C4F" w:rsidRDefault="00555547" w:rsidP="00245CA8">
            <w:pPr>
              <w:pStyle w:val="TableText"/>
              <w:ind w:left="82"/>
              <w:rPr>
                <w:sz w:val="24"/>
                <w:szCs w:val="24"/>
              </w:rPr>
            </w:pPr>
            <w:r w:rsidRPr="00937C4F">
              <w:rPr>
                <w:sz w:val="24"/>
                <w:szCs w:val="24"/>
              </w:rPr>
              <w:t>Must be delivered as part of the legal entitlement qualifications</w:t>
            </w:r>
          </w:p>
        </w:tc>
        <w:tc>
          <w:tcPr>
            <w:tcW w:w="1701" w:type="dxa"/>
            <w:shd w:val="clear" w:color="auto" w:fill="FFFFFF"/>
          </w:tcPr>
          <w:p w14:paraId="36436A24" w14:textId="4D9B494D" w:rsidR="00555547" w:rsidRPr="00937C4F" w:rsidRDefault="00555547" w:rsidP="00245CA8">
            <w:pPr>
              <w:pStyle w:val="TableText"/>
              <w:rPr>
                <w:sz w:val="24"/>
                <w:szCs w:val="24"/>
              </w:rPr>
            </w:pPr>
            <w:r w:rsidRPr="00937C4F">
              <w:rPr>
                <w:sz w:val="24"/>
                <w:szCs w:val="24"/>
              </w:rPr>
              <w:t>Fully funded</w:t>
            </w:r>
          </w:p>
        </w:tc>
      </w:tr>
      <w:tr w:rsidR="00555547" w:rsidRPr="00450D64" w14:paraId="18ED199F" w14:textId="77777777" w:rsidTr="00937C4F">
        <w:trPr>
          <w:cantSplit/>
        </w:trPr>
        <w:tc>
          <w:tcPr>
            <w:tcW w:w="3725" w:type="dxa"/>
            <w:shd w:val="clear" w:color="auto" w:fill="FFFFFF"/>
            <w:tcMar>
              <w:top w:w="150" w:type="dxa"/>
              <w:left w:w="0" w:type="dxa"/>
              <w:bottom w:w="150" w:type="dxa"/>
              <w:right w:w="300" w:type="dxa"/>
            </w:tcMar>
            <w:hideMark/>
          </w:tcPr>
          <w:p w14:paraId="7043DD90" w14:textId="3BE51B91" w:rsidR="00555547" w:rsidRPr="00937C4F" w:rsidRDefault="00555547" w:rsidP="00245CA8">
            <w:pPr>
              <w:pStyle w:val="TableText"/>
              <w:ind w:left="146"/>
              <w:rPr>
                <w:sz w:val="24"/>
                <w:szCs w:val="24"/>
              </w:rPr>
            </w:pPr>
            <w:r w:rsidRPr="00937C4F">
              <w:rPr>
                <w:rFonts w:cs="Arial"/>
                <w:sz w:val="24"/>
                <w:szCs w:val="24"/>
              </w:rPr>
              <w:t xml:space="preserve">Essential digital skills and digital functional skills qualifications up to and including level 1. </w:t>
            </w:r>
          </w:p>
        </w:tc>
        <w:tc>
          <w:tcPr>
            <w:tcW w:w="3930" w:type="dxa"/>
            <w:shd w:val="clear" w:color="auto" w:fill="FFFFFF"/>
          </w:tcPr>
          <w:p w14:paraId="5ECED47A" w14:textId="49AFFDA0" w:rsidR="00555547" w:rsidRPr="00937C4F" w:rsidRDefault="00555547" w:rsidP="00245CA8">
            <w:pPr>
              <w:pStyle w:val="TableText"/>
              <w:ind w:left="82"/>
              <w:rPr>
                <w:sz w:val="24"/>
                <w:szCs w:val="24"/>
              </w:rPr>
            </w:pPr>
            <w:r w:rsidRPr="00937C4F">
              <w:rPr>
                <w:sz w:val="24"/>
                <w:szCs w:val="24"/>
              </w:rPr>
              <w:t>Must be delivered as part of the digital legal entitlement qualifications</w:t>
            </w:r>
          </w:p>
        </w:tc>
        <w:tc>
          <w:tcPr>
            <w:tcW w:w="1701" w:type="dxa"/>
            <w:shd w:val="clear" w:color="auto" w:fill="FFFFFF"/>
          </w:tcPr>
          <w:p w14:paraId="1B62F27C" w14:textId="1A6EDD8D" w:rsidR="00555547" w:rsidRPr="00937C4F" w:rsidRDefault="00555547" w:rsidP="00245CA8">
            <w:pPr>
              <w:pStyle w:val="TableText"/>
              <w:rPr>
                <w:sz w:val="24"/>
                <w:szCs w:val="24"/>
              </w:rPr>
            </w:pPr>
            <w:r w:rsidRPr="00937C4F">
              <w:rPr>
                <w:sz w:val="24"/>
                <w:szCs w:val="24"/>
              </w:rPr>
              <w:t>Fully funded</w:t>
            </w:r>
          </w:p>
        </w:tc>
      </w:tr>
      <w:tr w:rsidR="00555547" w:rsidRPr="00450D64" w14:paraId="54305C88" w14:textId="77777777" w:rsidTr="00937C4F">
        <w:trPr>
          <w:cantSplit/>
        </w:trPr>
        <w:tc>
          <w:tcPr>
            <w:tcW w:w="3725" w:type="dxa"/>
            <w:shd w:val="clear" w:color="auto" w:fill="FFFFFF"/>
            <w:tcMar>
              <w:top w:w="150" w:type="dxa"/>
              <w:left w:w="0" w:type="dxa"/>
              <w:bottom w:w="150" w:type="dxa"/>
              <w:right w:w="300" w:type="dxa"/>
            </w:tcMar>
            <w:hideMark/>
          </w:tcPr>
          <w:p w14:paraId="5AFC9AAA" w14:textId="0C32E0D5" w:rsidR="00555547" w:rsidRPr="00937C4F" w:rsidRDefault="00555547" w:rsidP="00245CA8">
            <w:pPr>
              <w:pStyle w:val="TableText"/>
              <w:ind w:left="146"/>
              <w:rPr>
                <w:sz w:val="24"/>
                <w:szCs w:val="24"/>
              </w:rPr>
            </w:pPr>
            <w:r w:rsidRPr="00937C4F">
              <w:rPr>
                <w:sz w:val="24"/>
                <w:szCs w:val="24"/>
              </w:rPr>
              <w:t xml:space="preserve">First full level 2 (excluding English &amp; maths and Digital). </w:t>
            </w:r>
          </w:p>
        </w:tc>
        <w:tc>
          <w:tcPr>
            <w:tcW w:w="3930" w:type="dxa"/>
            <w:shd w:val="clear" w:color="auto" w:fill="FFFFFF"/>
          </w:tcPr>
          <w:p w14:paraId="63E95DF8" w14:textId="72B49F0A" w:rsidR="00555547" w:rsidRPr="00937C4F" w:rsidRDefault="00555547" w:rsidP="00245CA8">
            <w:pPr>
              <w:pStyle w:val="TableText"/>
              <w:ind w:left="82"/>
              <w:rPr>
                <w:sz w:val="24"/>
                <w:szCs w:val="24"/>
              </w:rPr>
            </w:pPr>
            <w:r w:rsidRPr="00937C4F">
              <w:rPr>
                <w:sz w:val="24"/>
                <w:szCs w:val="24"/>
              </w:rPr>
              <w:t>First full level 2 must be delivered as part of the legal entitlement qualifications. Level 2 provision from the local flexibility offer will not be funded for 19 to 23-year-olds who do not have a first full level 2.  See local flexibility and legal entitlement section,</w:t>
            </w:r>
          </w:p>
        </w:tc>
        <w:tc>
          <w:tcPr>
            <w:tcW w:w="1701" w:type="dxa"/>
            <w:shd w:val="clear" w:color="auto" w:fill="FFFFFF"/>
          </w:tcPr>
          <w:p w14:paraId="3A4DB964" w14:textId="7A2C618A" w:rsidR="00555547" w:rsidRPr="00937C4F" w:rsidRDefault="00555547" w:rsidP="00245CA8">
            <w:pPr>
              <w:pStyle w:val="TableText"/>
              <w:rPr>
                <w:sz w:val="24"/>
                <w:szCs w:val="24"/>
              </w:rPr>
            </w:pPr>
            <w:r w:rsidRPr="00937C4F">
              <w:rPr>
                <w:sz w:val="24"/>
                <w:szCs w:val="24"/>
              </w:rPr>
              <w:t>Fully funded</w:t>
            </w:r>
          </w:p>
        </w:tc>
      </w:tr>
      <w:tr w:rsidR="00555547" w:rsidRPr="00450D64" w14:paraId="0362F23B" w14:textId="77777777" w:rsidTr="00937C4F">
        <w:trPr>
          <w:cantSplit/>
        </w:trPr>
        <w:tc>
          <w:tcPr>
            <w:tcW w:w="3725" w:type="dxa"/>
            <w:shd w:val="clear" w:color="auto" w:fill="FFFFFF"/>
            <w:tcMar>
              <w:top w:w="150" w:type="dxa"/>
              <w:left w:w="0" w:type="dxa"/>
              <w:bottom w:w="150" w:type="dxa"/>
              <w:right w:w="300" w:type="dxa"/>
            </w:tcMar>
            <w:hideMark/>
          </w:tcPr>
          <w:p w14:paraId="5E5ABCD3" w14:textId="7B663C13" w:rsidR="00555547" w:rsidRPr="00D71B05" w:rsidRDefault="00D6066A" w:rsidP="00245CA8">
            <w:pPr>
              <w:pStyle w:val="TableText"/>
              <w:ind w:left="146"/>
              <w:rPr>
                <w:sz w:val="24"/>
                <w:szCs w:val="24"/>
              </w:rPr>
            </w:pPr>
            <w:r w:rsidRPr="00D71B05">
              <w:rPr>
                <w:sz w:val="24"/>
                <w:szCs w:val="24"/>
              </w:rPr>
              <w:t>Level 3 legal entitlement (learners f</w:t>
            </w:r>
            <w:r w:rsidR="00555547" w:rsidRPr="00D71B05">
              <w:rPr>
                <w:sz w:val="24"/>
                <w:szCs w:val="24"/>
              </w:rPr>
              <w:t xml:space="preserve">irst full </w:t>
            </w:r>
            <w:r w:rsidRPr="00D71B05">
              <w:rPr>
                <w:sz w:val="24"/>
                <w:szCs w:val="24"/>
              </w:rPr>
              <w:t>L</w:t>
            </w:r>
            <w:r w:rsidR="00555547" w:rsidRPr="00D71B05">
              <w:rPr>
                <w:sz w:val="24"/>
                <w:szCs w:val="24"/>
              </w:rPr>
              <w:t>evel 3</w:t>
            </w:r>
            <w:r w:rsidRPr="00D71B05">
              <w:rPr>
                <w:sz w:val="24"/>
                <w:szCs w:val="24"/>
              </w:rPr>
              <w:t>)</w:t>
            </w:r>
            <w:r w:rsidR="00555547" w:rsidRPr="00D71B05">
              <w:rPr>
                <w:sz w:val="24"/>
                <w:szCs w:val="24"/>
              </w:rPr>
              <w:t xml:space="preserve">. </w:t>
            </w:r>
          </w:p>
        </w:tc>
        <w:tc>
          <w:tcPr>
            <w:tcW w:w="3930" w:type="dxa"/>
            <w:shd w:val="clear" w:color="auto" w:fill="FFFFFF"/>
          </w:tcPr>
          <w:p w14:paraId="0A9EFCBF" w14:textId="36220B47" w:rsidR="00555547" w:rsidRPr="00D71B05" w:rsidRDefault="00555547" w:rsidP="00245CA8">
            <w:pPr>
              <w:pStyle w:val="TableText"/>
              <w:ind w:left="82"/>
              <w:rPr>
                <w:sz w:val="24"/>
                <w:szCs w:val="24"/>
              </w:rPr>
            </w:pPr>
            <w:r w:rsidRPr="00D71B05">
              <w:rPr>
                <w:sz w:val="24"/>
                <w:szCs w:val="24"/>
              </w:rPr>
              <w:t>First full level 3 must be delivered as part of the legal entitlement qualifications.</w:t>
            </w:r>
          </w:p>
        </w:tc>
        <w:tc>
          <w:tcPr>
            <w:tcW w:w="1701" w:type="dxa"/>
            <w:shd w:val="clear" w:color="auto" w:fill="FFFFFF"/>
          </w:tcPr>
          <w:p w14:paraId="41BB0E65" w14:textId="04FE1B3C" w:rsidR="00555547" w:rsidRPr="00D71B05" w:rsidRDefault="00555547" w:rsidP="00245CA8">
            <w:pPr>
              <w:pStyle w:val="TableText"/>
              <w:rPr>
                <w:sz w:val="24"/>
                <w:szCs w:val="24"/>
              </w:rPr>
            </w:pPr>
            <w:r w:rsidRPr="00D71B05">
              <w:rPr>
                <w:sz w:val="24"/>
                <w:szCs w:val="24"/>
              </w:rPr>
              <w:t>Fully funded</w:t>
            </w:r>
          </w:p>
        </w:tc>
      </w:tr>
      <w:tr w:rsidR="00555547" w:rsidRPr="00450D64" w14:paraId="391EE06E" w14:textId="77777777" w:rsidTr="00937C4F">
        <w:trPr>
          <w:cantSplit/>
        </w:trPr>
        <w:tc>
          <w:tcPr>
            <w:tcW w:w="3725" w:type="dxa"/>
            <w:shd w:val="clear" w:color="auto" w:fill="FFFFFF"/>
            <w:tcMar>
              <w:top w:w="150" w:type="dxa"/>
              <w:left w:w="0" w:type="dxa"/>
              <w:bottom w:w="150" w:type="dxa"/>
              <w:right w:w="300" w:type="dxa"/>
            </w:tcMar>
            <w:hideMark/>
          </w:tcPr>
          <w:p w14:paraId="05F37C68" w14:textId="3E737DBE" w:rsidR="00555547" w:rsidRPr="00937C4F" w:rsidRDefault="00555547" w:rsidP="00245CA8">
            <w:pPr>
              <w:pStyle w:val="TableText"/>
              <w:ind w:left="146"/>
              <w:rPr>
                <w:sz w:val="24"/>
                <w:szCs w:val="24"/>
              </w:rPr>
            </w:pPr>
            <w:r w:rsidRPr="00937C4F">
              <w:rPr>
                <w:sz w:val="24"/>
                <w:szCs w:val="24"/>
              </w:rPr>
              <w:t xml:space="preserve">Learning aims to progress to a full </w:t>
            </w:r>
            <w:r w:rsidR="00C50C4F" w:rsidRPr="00937C4F">
              <w:rPr>
                <w:sz w:val="24"/>
                <w:szCs w:val="24"/>
              </w:rPr>
              <w:t xml:space="preserve">level </w:t>
            </w:r>
            <w:r w:rsidRPr="00937C4F">
              <w:rPr>
                <w:sz w:val="24"/>
                <w:szCs w:val="24"/>
              </w:rPr>
              <w:t xml:space="preserve">2 – up to and including </w:t>
            </w:r>
            <w:r w:rsidR="00937C4F">
              <w:rPr>
                <w:sz w:val="24"/>
                <w:szCs w:val="24"/>
              </w:rPr>
              <w:t xml:space="preserve">level </w:t>
            </w:r>
            <w:r w:rsidRPr="00937C4F">
              <w:rPr>
                <w:sz w:val="24"/>
                <w:szCs w:val="24"/>
              </w:rPr>
              <w:t xml:space="preserve">1. </w:t>
            </w:r>
          </w:p>
        </w:tc>
        <w:tc>
          <w:tcPr>
            <w:tcW w:w="3930" w:type="dxa"/>
            <w:shd w:val="clear" w:color="auto" w:fill="FFFFFF"/>
          </w:tcPr>
          <w:p w14:paraId="0341D667" w14:textId="77777777" w:rsidR="00555547" w:rsidRDefault="00555547" w:rsidP="00245CA8">
            <w:pPr>
              <w:pStyle w:val="TableText"/>
              <w:ind w:left="82"/>
              <w:rPr>
                <w:rFonts w:cs="Arial"/>
                <w:sz w:val="24"/>
                <w:szCs w:val="24"/>
              </w:rPr>
            </w:pPr>
            <w:r w:rsidRPr="00937C4F">
              <w:rPr>
                <w:sz w:val="24"/>
                <w:szCs w:val="24"/>
              </w:rPr>
              <w:t xml:space="preserve">Must be delivered as entry or level </w:t>
            </w:r>
            <w:r w:rsidR="00C50C4F" w:rsidRPr="00937C4F">
              <w:rPr>
                <w:sz w:val="24"/>
                <w:szCs w:val="24"/>
              </w:rPr>
              <w:t>1</w:t>
            </w:r>
            <w:r w:rsidRPr="00937C4F">
              <w:rPr>
                <w:sz w:val="24"/>
                <w:szCs w:val="24"/>
              </w:rPr>
              <w:t xml:space="preserve"> provision from </w:t>
            </w:r>
            <w:r w:rsidRPr="00937C4F">
              <w:rPr>
                <w:rFonts w:cs="Arial"/>
                <w:sz w:val="24"/>
                <w:szCs w:val="24"/>
              </w:rPr>
              <w:t>local flexibility.</w:t>
            </w:r>
          </w:p>
          <w:p w14:paraId="1CC08E37" w14:textId="77777777" w:rsidR="0074120A" w:rsidRDefault="0074120A" w:rsidP="00245CA8">
            <w:pPr>
              <w:pStyle w:val="TableText"/>
              <w:ind w:left="82"/>
              <w:rPr>
                <w:sz w:val="24"/>
                <w:szCs w:val="24"/>
              </w:rPr>
            </w:pPr>
          </w:p>
          <w:p w14:paraId="40620D2E" w14:textId="77777777" w:rsidR="0074120A" w:rsidRDefault="0074120A" w:rsidP="00245CA8">
            <w:pPr>
              <w:pStyle w:val="TableText"/>
              <w:ind w:left="82"/>
              <w:rPr>
                <w:sz w:val="24"/>
                <w:szCs w:val="24"/>
              </w:rPr>
            </w:pPr>
          </w:p>
          <w:p w14:paraId="0F488E08" w14:textId="77777777" w:rsidR="0074120A" w:rsidRDefault="0074120A" w:rsidP="00245CA8">
            <w:pPr>
              <w:pStyle w:val="TableText"/>
              <w:ind w:left="82"/>
              <w:rPr>
                <w:sz w:val="24"/>
                <w:szCs w:val="24"/>
              </w:rPr>
            </w:pPr>
          </w:p>
          <w:p w14:paraId="55F4B930" w14:textId="03957338" w:rsidR="0074120A" w:rsidRPr="00937C4F" w:rsidRDefault="0074120A" w:rsidP="00245CA8">
            <w:pPr>
              <w:pStyle w:val="TableText"/>
              <w:ind w:left="82"/>
              <w:rPr>
                <w:sz w:val="24"/>
                <w:szCs w:val="24"/>
              </w:rPr>
            </w:pPr>
          </w:p>
        </w:tc>
        <w:tc>
          <w:tcPr>
            <w:tcW w:w="1701" w:type="dxa"/>
            <w:shd w:val="clear" w:color="auto" w:fill="FFFFFF"/>
          </w:tcPr>
          <w:p w14:paraId="40B7364C" w14:textId="55C1E2D1" w:rsidR="00555547" w:rsidRPr="00937C4F" w:rsidRDefault="00555547" w:rsidP="00245CA8">
            <w:pPr>
              <w:pStyle w:val="TableText"/>
              <w:rPr>
                <w:sz w:val="24"/>
                <w:szCs w:val="24"/>
              </w:rPr>
            </w:pPr>
            <w:r w:rsidRPr="00937C4F">
              <w:rPr>
                <w:sz w:val="24"/>
                <w:szCs w:val="24"/>
              </w:rPr>
              <w:t>Fully funded</w:t>
            </w:r>
          </w:p>
        </w:tc>
      </w:tr>
      <w:tr w:rsidR="0074120A" w:rsidRPr="00450D64" w14:paraId="57C509FC" w14:textId="77777777" w:rsidTr="00B14F77">
        <w:trPr>
          <w:cantSplit/>
          <w:trHeight w:val="2100"/>
        </w:trPr>
        <w:tc>
          <w:tcPr>
            <w:tcW w:w="3725" w:type="dxa"/>
            <w:shd w:val="clear" w:color="auto" w:fill="FFFFFF"/>
            <w:tcMar>
              <w:top w:w="150" w:type="dxa"/>
              <w:left w:w="0" w:type="dxa"/>
              <w:bottom w:w="150" w:type="dxa"/>
              <w:right w:w="300" w:type="dxa"/>
            </w:tcMar>
          </w:tcPr>
          <w:p w14:paraId="5CFF07B6" w14:textId="18EBF676" w:rsidR="0074120A" w:rsidRPr="00937C4F" w:rsidRDefault="0074120A" w:rsidP="00245CA8">
            <w:pPr>
              <w:pStyle w:val="TableText"/>
              <w:ind w:left="146"/>
              <w:rPr>
                <w:sz w:val="24"/>
                <w:szCs w:val="24"/>
              </w:rPr>
            </w:pPr>
            <w:r w:rsidRPr="00937C4F">
              <w:rPr>
                <w:sz w:val="24"/>
                <w:szCs w:val="24"/>
              </w:rPr>
              <w:lastRenderedPageBreak/>
              <w:t xml:space="preserve">Learning aims up to and including level 2, where the learner has already achieved a first full level 2 or above </w:t>
            </w:r>
          </w:p>
        </w:tc>
        <w:tc>
          <w:tcPr>
            <w:tcW w:w="3930" w:type="dxa"/>
            <w:shd w:val="clear" w:color="auto" w:fill="FFFFFF"/>
          </w:tcPr>
          <w:p w14:paraId="3ED7A9C2" w14:textId="57B0E84B" w:rsidR="0074120A" w:rsidRPr="00937C4F" w:rsidRDefault="0074120A" w:rsidP="00245CA8">
            <w:pPr>
              <w:pStyle w:val="TableText"/>
              <w:ind w:left="82"/>
              <w:rPr>
                <w:sz w:val="24"/>
                <w:szCs w:val="24"/>
              </w:rPr>
            </w:pPr>
            <w:r w:rsidRPr="00937C4F">
              <w:rPr>
                <w:sz w:val="24"/>
                <w:szCs w:val="24"/>
              </w:rPr>
              <w:t>For those who meet the unemployed criteria or who are in receipt of a low wage.</w:t>
            </w:r>
          </w:p>
        </w:tc>
        <w:tc>
          <w:tcPr>
            <w:tcW w:w="1701" w:type="dxa"/>
            <w:shd w:val="clear" w:color="auto" w:fill="FFFFFF"/>
          </w:tcPr>
          <w:p w14:paraId="72984CBE" w14:textId="6C05BAE3" w:rsidR="0074120A" w:rsidRPr="00937C4F" w:rsidRDefault="0074120A" w:rsidP="00245CA8">
            <w:pPr>
              <w:pStyle w:val="TableText"/>
              <w:rPr>
                <w:sz w:val="24"/>
                <w:szCs w:val="24"/>
              </w:rPr>
            </w:pPr>
            <w:r w:rsidRPr="00937C4F">
              <w:rPr>
                <w:sz w:val="24"/>
                <w:szCs w:val="24"/>
              </w:rPr>
              <w:t>Fully Funded</w:t>
            </w:r>
          </w:p>
        </w:tc>
      </w:tr>
      <w:tr w:rsidR="00886063" w:rsidRPr="00450D64" w14:paraId="39806B7C" w14:textId="77777777" w:rsidTr="00937C4F">
        <w:trPr>
          <w:cantSplit/>
        </w:trPr>
        <w:tc>
          <w:tcPr>
            <w:tcW w:w="3725" w:type="dxa"/>
            <w:shd w:val="clear" w:color="auto" w:fill="FFFFFF"/>
            <w:tcMar>
              <w:top w:w="150" w:type="dxa"/>
              <w:left w:w="0" w:type="dxa"/>
              <w:bottom w:w="150" w:type="dxa"/>
              <w:right w:w="300" w:type="dxa"/>
            </w:tcMar>
          </w:tcPr>
          <w:p w14:paraId="3CDC1570" w14:textId="5C8A224F" w:rsidR="00886063" w:rsidRPr="00937C4F" w:rsidRDefault="0056328D" w:rsidP="00245CA8">
            <w:pPr>
              <w:pStyle w:val="TableText"/>
              <w:ind w:left="146"/>
              <w:rPr>
                <w:rFonts w:cs="Arial"/>
                <w:color w:val="0B0C0C"/>
                <w:sz w:val="24"/>
                <w:szCs w:val="24"/>
              </w:rPr>
            </w:pPr>
            <w:r>
              <w:rPr>
                <w:rFonts w:cs="Arial"/>
                <w:color w:val="0B0C0C"/>
                <w:sz w:val="24"/>
                <w:szCs w:val="24"/>
              </w:rPr>
              <w:t>Learning aims up to and including Level 2, where the learner has already achieved a first full level 2, or above</w:t>
            </w:r>
          </w:p>
        </w:tc>
        <w:tc>
          <w:tcPr>
            <w:tcW w:w="3930" w:type="dxa"/>
            <w:shd w:val="clear" w:color="auto" w:fill="FFFFFF"/>
          </w:tcPr>
          <w:p w14:paraId="622F2E8B" w14:textId="4BFB0D10" w:rsidR="00886063" w:rsidRPr="00937C4F" w:rsidRDefault="00886063" w:rsidP="00245CA8">
            <w:pPr>
              <w:pStyle w:val="TableText"/>
              <w:ind w:left="82"/>
              <w:rPr>
                <w:rFonts w:cs="Arial"/>
                <w:color w:val="0B0C0C"/>
                <w:sz w:val="24"/>
                <w:szCs w:val="24"/>
              </w:rPr>
            </w:pPr>
            <w:r w:rsidRPr="00937C4F">
              <w:rPr>
                <w:sz w:val="24"/>
                <w:szCs w:val="24"/>
              </w:rPr>
              <w:t>For those who do not meet the definition of unemployed or do not meet the eligibility criteria for learners in receipt of low wage</w:t>
            </w:r>
          </w:p>
        </w:tc>
        <w:tc>
          <w:tcPr>
            <w:tcW w:w="1701" w:type="dxa"/>
            <w:shd w:val="clear" w:color="auto" w:fill="FFFFFF"/>
          </w:tcPr>
          <w:p w14:paraId="471987ED" w14:textId="361D3C1F" w:rsidR="00886063" w:rsidRPr="00937C4F" w:rsidRDefault="00886063" w:rsidP="00245CA8">
            <w:pPr>
              <w:pStyle w:val="TableText"/>
              <w:rPr>
                <w:rFonts w:cs="Arial"/>
                <w:color w:val="0B0C0C"/>
                <w:sz w:val="24"/>
                <w:szCs w:val="24"/>
              </w:rPr>
            </w:pPr>
            <w:r w:rsidRPr="00937C4F">
              <w:rPr>
                <w:sz w:val="24"/>
                <w:szCs w:val="24"/>
              </w:rPr>
              <w:t>Co-Funded</w:t>
            </w:r>
          </w:p>
        </w:tc>
      </w:tr>
      <w:tr w:rsidR="00555547" w:rsidRPr="00450D64" w14:paraId="0FA1F793" w14:textId="77777777" w:rsidTr="00937C4F">
        <w:trPr>
          <w:cantSplit/>
        </w:trPr>
        <w:tc>
          <w:tcPr>
            <w:tcW w:w="3725" w:type="dxa"/>
            <w:shd w:val="clear" w:color="auto" w:fill="FFFFFF"/>
            <w:tcMar>
              <w:top w:w="150" w:type="dxa"/>
              <w:left w:w="0" w:type="dxa"/>
              <w:bottom w:w="150" w:type="dxa"/>
              <w:right w:w="300" w:type="dxa"/>
            </w:tcMar>
            <w:hideMark/>
          </w:tcPr>
          <w:p w14:paraId="7094A0D1" w14:textId="018556E0" w:rsidR="00555547" w:rsidRPr="00937C4F" w:rsidRDefault="00555547" w:rsidP="00245CA8">
            <w:pPr>
              <w:pStyle w:val="TableText"/>
              <w:ind w:left="146"/>
              <w:rPr>
                <w:rFonts w:cs="Arial"/>
                <w:color w:val="0B0C0C"/>
                <w:sz w:val="24"/>
                <w:szCs w:val="24"/>
              </w:rPr>
            </w:pPr>
            <w:r w:rsidRPr="00937C4F">
              <w:rPr>
                <w:rFonts w:cs="Arial"/>
                <w:color w:val="0B0C0C"/>
                <w:sz w:val="24"/>
                <w:szCs w:val="24"/>
              </w:rPr>
              <w:t xml:space="preserve">English for speakers of other languages (ESOL) learning up to and including </w:t>
            </w:r>
            <w:r w:rsidR="00C50C4F" w:rsidRPr="00937C4F">
              <w:rPr>
                <w:rFonts w:cs="Arial"/>
                <w:color w:val="0B0C0C"/>
                <w:sz w:val="24"/>
                <w:szCs w:val="24"/>
              </w:rPr>
              <w:t>L</w:t>
            </w:r>
            <w:r w:rsidR="00937C4F">
              <w:rPr>
                <w:rFonts w:cs="Arial"/>
                <w:color w:val="0B0C0C"/>
                <w:sz w:val="24"/>
                <w:szCs w:val="24"/>
              </w:rPr>
              <w:t>evel</w:t>
            </w:r>
            <w:r w:rsidR="00C50C4F" w:rsidRPr="00937C4F">
              <w:rPr>
                <w:rFonts w:cs="Arial"/>
                <w:color w:val="0B0C0C"/>
                <w:sz w:val="24"/>
                <w:szCs w:val="24"/>
              </w:rPr>
              <w:t xml:space="preserve"> 2</w:t>
            </w:r>
            <w:r w:rsidRPr="00937C4F">
              <w:rPr>
                <w:rFonts w:cs="Arial"/>
                <w:color w:val="0B0C0C"/>
                <w:sz w:val="24"/>
                <w:szCs w:val="24"/>
              </w:rPr>
              <w:t xml:space="preserve">. </w:t>
            </w:r>
          </w:p>
        </w:tc>
        <w:tc>
          <w:tcPr>
            <w:tcW w:w="3930" w:type="dxa"/>
            <w:shd w:val="clear" w:color="auto" w:fill="FFFFFF"/>
          </w:tcPr>
          <w:p w14:paraId="1F9B68DA" w14:textId="2941DF15" w:rsidR="00555547" w:rsidRPr="00937C4F" w:rsidRDefault="00555547" w:rsidP="00245CA8">
            <w:pPr>
              <w:pStyle w:val="TableText"/>
              <w:ind w:left="82"/>
              <w:rPr>
                <w:rFonts w:cs="Arial"/>
                <w:color w:val="0B0C0C"/>
                <w:sz w:val="24"/>
                <w:szCs w:val="24"/>
              </w:rPr>
            </w:pPr>
            <w:r w:rsidRPr="00937C4F">
              <w:rPr>
                <w:rFonts w:cs="Arial"/>
                <w:color w:val="0B0C0C"/>
                <w:sz w:val="24"/>
                <w:szCs w:val="24"/>
              </w:rPr>
              <w:t>For those who meet the unemployed criteria or who are in receipt of a low wage.</w:t>
            </w:r>
          </w:p>
        </w:tc>
        <w:tc>
          <w:tcPr>
            <w:tcW w:w="1701" w:type="dxa"/>
            <w:shd w:val="clear" w:color="auto" w:fill="FFFFFF"/>
          </w:tcPr>
          <w:p w14:paraId="6852C0B7" w14:textId="1E6D303C" w:rsidR="00555547" w:rsidRPr="00937C4F" w:rsidRDefault="00555547" w:rsidP="00245CA8">
            <w:pPr>
              <w:pStyle w:val="TableText"/>
              <w:rPr>
                <w:rFonts w:cs="Arial"/>
                <w:color w:val="0B0C0C"/>
                <w:sz w:val="24"/>
                <w:szCs w:val="24"/>
              </w:rPr>
            </w:pPr>
            <w:r w:rsidRPr="00937C4F">
              <w:rPr>
                <w:rFonts w:cs="Arial"/>
                <w:color w:val="0B0C0C"/>
                <w:sz w:val="24"/>
                <w:szCs w:val="24"/>
              </w:rPr>
              <w:t>Fully funded</w:t>
            </w:r>
          </w:p>
        </w:tc>
      </w:tr>
      <w:tr w:rsidR="0074120A" w:rsidRPr="00450D64" w14:paraId="6D61A88F" w14:textId="77777777" w:rsidTr="00937C4F">
        <w:trPr>
          <w:cantSplit/>
        </w:trPr>
        <w:tc>
          <w:tcPr>
            <w:tcW w:w="3725" w:type="dxa"/>
            <w:shd w:val="clear" w:color="auto" w:fill="FFFFFF"/>
            <w:tcMar>
              <w:top w:w="150" w:type="dxa"/>
              <w:left w:w="0" w:type="dxa"/>
              <w:bottom w:w="150" w:type="dxa"/>
              <w:right w:w="300" w:type="dxa"/>
            </w:tcMar>
          </w:tcPr>
          <w:p w14:paraId="60E074D2" w14:textId="28B1B1D2" w:rsidR="0074120A" w:rsidRPr="00937C4F" w:rsidRDefault="0074120A" w:rsidP="00245CA8">
            <w:pPr>
              <w:pStyle w:val="TableText"/>
              <w:ind w:left="146"/>
              <w:rPr>
                <w:rFonts w:cs="Arial"/>
                <w:color w:val="0B0C0C"/>
                <w:sz w:val="24"/>
                <w:szCs w:val="24"/>
              </w:rPr>
            </w:pPr>
            <w:r w:rsidRPr="00937C4F">
              <w:rPr>
                <w:rFonts w:cs="Arial"/>
                <w:color w:val="0B0C0C"/>
                <w:sz w:val="24"/>
                <w:szCs w:val="24"/>
              </w:rPr>
              <w:t>English for speakers of other languages (ESOL) learning up to and including L</w:t>
            </w:r>
            <w:r>
              <w:rPr>
                <w:rFonts w:cs="Arial"/>
                <w:color w:val="0B0C0C"/>
                <w:sz w:val="24"/>
                <w:szCs w:val="24"/>
              </w:rPr>
              <w:t>evel</w:t>
            </w:r>
            <w:r w:rsidRPr="00937C4F">
              <w:rPr>
                <w:rFonts w:cs="Arial"/>
                <w:color w:val="0B0C0C"/>
                <w:sz w:val="24"/>
                <w:szCs w:val="24"/>
              </w:rPr>
              <w:t xml:space="preserve"> 2.</w:t>
            </w:r>
          </w:p>
        </w:tc>
        <w:tc>
          <w:tcPr>
            <w:tcW w:w="3930" w:type="dxa"/>
            <w:shd w:val="clear" w:color="auto" w:fill="FFFFFF"/>
          </w:tcPr>
          <w:p w14:paraId="1DEE88CA" w14:textId="5820B2D6" w:rsidR="0074120A" w:rsidRPr="00937C4F" w:rsidRDefault="0074120A" w:rsidP="00245CA8">
            <w:pPr>
              <w:pStyle w:val="TableText"/>
              <w:ind w:left="82"/>
              <w:rPr>
                <w:rFonts w:cs="Arial"/>
                <w:color w:val="0B0C0C"/>
                <w:sz w:val="24"/>
                <w:szCs w:val="24"/>
              </w:rPr>
            </w:pPr>
            <w:r>
              <w:rPr>
                <w:rFonts w:cs="Arial"/>
                <w:color w:val="0B0C0C"/>
                <w:sz w:val="24"/>
                <w:szCs w:val="24"/>
              </w:rPr>
              <w:t>For those who meet the definition of unemployed or meet the</w:t>
            </w:r>
            <w:r w:rsidR="002D716C">
              <w:rPr>
                <w:rFonts w:cs="Arial"/>
                <w:color w:val="0B0C0C"/>
                <w:sz w:val="24"/>
                <w:szCs w:val="24"/>
              </w:rPr>
              <w:t xml:space="preserve"> eligibility criteria for learners in receipt of low wage</w:t>
            </w:r>
          </w:p>
        </w:tc>
        <w:tc>
          <w:tcPr>
            <w:tcW w:w="1701" w:type="dxa"/>
            <w:shd w:val="clear" w:color="auto" w:fill="FFFFFF"/>
          </w:tcPr>
          <w:p w14:paraId="63026175" w14:textId="17C2043B" w:rsidR="0074120A" w:rsidRPr="00937C4F" w:rsidRDefault="002D716C" w:rsidP="00245CA8">
            <w:pPr>
              <w:pStyle w:val="TableText"/>
              <w:rPr>
                <w:rFonts w:cs="Arial"/>
                <w:color w:val="0B0C0C"/>
                <w:sz w:val="24"/>
                <w:szCs w:val="24"/>
              </w:rPr>
            </w:pPr>
            <w:r>
              <w:rPr>
                <w:rFonts w:cs="Arial"/>
                <w:color w:val="0B0C0C"/>
                <w:sz w:val="24"/>
                <w:szCs w:val="24"/>
              </w:rPr>
              <w:t>Fully funded</w:t>
            </w:r>
          </w:p>
        </w:tc>
      </w:tr>
      <w:tr w:rsidR="00555547" w:rsidRPr="00450D64" w14:paraId="2D64BD91" w14:textId="77777777" w:rsidTr="00937C4F">
        <w:trPr>
          <w:cantSplit/>
        </w:trPr>
        <w:tc>
          <w:tcPr>
            <w:tcW w:w="3725" w:type="dxa"/>
            <w:shd w:val="clear" w:color="auto" w:fill="FFFFFF"/>
            <w:tcMar>
              <w:top w:w="150" w:type="dxa"/>
              <w:left w:w="0" w:type="dxa"/>
              <w:bottom w:w="150" w:type="dxa"/>
              <w:right w:w="300" w:type="dxa"/>
            </w:tcMar>
            <w:hideMark/>
          </w:tcPr>
          <w:p w14:paraId="53A37A86" w14:textId="19503A27" w:rsidR="00555547" w:rsidRPr="00937C4F" w:rsidRDefault="00555547" w:rsidP="00245CA8">
            <w:pPr>
              <w:pStyle w:val="TableText"/>
              <w:ind w:left="146"/>
              <w:rPr>
                <w:rFonts w:cs="Arial"/>
                <w:color w:val="0B0C0C"/>
                <w:sz w:val="24"/>
                <w:szCs w:val="24"/>
              </w:rPr>
            </w:pPr>
            <w:r w:rsidRPr="00937C4F">
              <w:rPr>
                <w:rFonts w:cs="Arial"/>
                <w:color w:val="0B0C0C"/>
                <w:sz w:val="24"/>
                <w:szCs w:val="24"/>
              </w:rPr>
              <w:t xml:space="preserve">English for speakers of other languages (ESOL) learning up to and including </w:t>
            </w:r>
            <w:r w:rsidR="00937C4F">
              <w:rPr>
                <w:rFonts w:cs="Arial"/>
                <w:color w:val="0B0C0C"/>
                <w:sz w:val="24"/>
                <w:szCs w:val="24"/>
              </w:rPr>
              <w:t>level</w:t>
            </w:r>
            <w:r w:rsidR="00C50C4F" w:rsidRPr="00937C4F">
              <w:rPr>
                <w:rFonts w:cs="Arial"/>
                <w:color w:val="0B0C0C"/>
                <w:sz w:val="24"/>
                <w:szCs w:val="24"/>
              </w:rPr>
              <w:t xml:space="preserve"> 2</w:t>
            </w:r>
            <w:r w:rsidRPr="00937C4F">
              <w:rPr>
                <w:rFonts w:cs="Arial"/>
                <w:color w:val="0B0C0C"/>
                <w:sz w:val="24"/>
                <w:szCs w:val="24"/>
              </w:rPr>
              <w:t xml:space="preserve">. </w:t>
            </w:r>
          </w:p>
        </w:tc>
        <w:tc>
          <w:tcPr>
            <w:tcW w:w="3930" w:type="dxa"/>
            <w:shd w:val="clear" w:color="auto" w:fill="FFFFFF"/>
          </w:tcPr>
          <w:p w14:paraId="5AF80AF1" w14:textId="5F17E95E" w:rsidR="00555547" w:rsidRPr="00937C4F" w:rsidRDefault="00555547" w:rsidP="00245CA8">
            <w:pPr>
              <w:pStyle w:val="TableText"/>
              <w:ind w:left="82"/>
              <w:rPr>
                <w:rFonts w:cs="Arial"/>
                <w:color w:val="0B0C0C"/>
                <w:sz w:val="24"/>
                <w:szCs w:val="24"/>
              </w:rPr>
            </w:pPr>
            <w:r w:rsidRPr="00937C4F">
              <w:rPr>
                <w:rFonts w:cs="Arial"/>
                <w:color w:val="0B0C0C"/>
                <w:sz w:val="24"/>
                <w:szCs w:val="24"/>
              </w:rPr>
              <w:t>For those who do not meet the definition of unemployed or do not meet the eligibility criteria for learners in receipt of low wage.</w:t>
            </w:r>
          </w:p>
        </w:tc>
        <w:tc>
          <w:tcPr>
            <w:tcW w:w="1701" w:type="dxa"/>
            <w:shd w:val="clear" w:color="auto" w:fill="FFFFFF"/>
          </w:tcPr>
          <w:p w14:paraId="36E80628" w14:textId="18D9A015" w:rsidR="00555547" w:rsidRPr="00937C4F" w:rsidRDefault="00761C31" w:rsidP="00245CA8">
            <w:pPr>
              <w:pStyle w:val="TableText"/>
              <w:rPr>
                <w:rFonts w:cs="Arial"/>
                <w:color w:val="0B0C0C"/>
                <w:sz w:val="24"/>
                <w:szCs w:val="24"/>
              </w:rPr>
            </w:pPr>
            <w:r>
              <w:rPr>
                <w:rFonts w:cs="Arial"/>
                <w:color w:val="0B0C0C"/>
                <w:sz w:val="24"/>
                <w:szCs w:val="24"/>
              </w:rPr>
              <w:t>Fully funded</w:t>
            </w:r>
          </w:p>
        </w:tc>
      </w:tr>
      <w:tr w:rsidR="00555547" w:rsidRPr="00450D64" w14:paraId="04AA9232" w14:textId="77777777" w:rsidTr="00937C4F">
        <w:trPr>
          <w:cantSplit/>
          <w:trHeight w:val="317"/>
        </w:trPr>
        <w:tc>
          <w:tcPr>
            <w:tcW w:w="3725" w:type="dxa"/>
            <w:shd w:val="clear" w:color="auto" w:fill="FFFFFF"/>
            <w:tcMar>
              <w:top w:w="150" w:type="dxa"/>
              <w:left w:w="0" w:type="dxa"/>
              <w:bottom w:w="150" w:type="dxa"/>
              <w:right w:w="300" w:type="dxa"/>
            </w:tcMar>
            <w:hideMark/>
          </w:tcPr>
          <w:p w14:paraId="55C4953F" w14:textId="17F03B48" w:rsidR="00555547" w:rsidRPr="00937C4F" w:rsidRDefault="00C50C4F" w:rsidP="00245CA8">
            <w:pPr>
              <w:pStyle w:val="TableText"/>
              <w:ind w:left="146"/>
              <w:rPr>
                <w:sz w:val="24"/>
                <w:szCs w:val="24"/>
              </w:rPr>
            </w:pPr>
            <w:r w:rsidRPr="00937C4F">
              <w:rPr>
                <w:rFonts w:cs="Arial"/>
                <w:sz w:val="24"/>
                <w:szCs w:val="24"/>
              </w:rPr>
              <w:t xml:space="preserve">Continuing </w:t>
            </w:r>
            <w:r w:rsidR="00555547" w:rsidRPr="00937C4F">
              <w:rPr>
                <w:rFonts w:cs="Arial"/>
                <w:sz w:val="24"/>
                <w:szCs w:val="24"/>
              </w:rPr>
              <w:t xml:space="preserve">Traineeship </w:t>
            </w:r>
            <w:r w:rsidR="00555547" w:rsidRPr="00937C4F">
              <w:rPr>
                <w:sz w:val="24"/>
                <w:szCs w:val="24"/>
              </w:rPr>
              <w:t>(</w:t>
            </w:r>
            <w:r w:rsidR="00937C4F" w:rsidRPr="00937C4F">
              <w:rPr>
                <w:sz w:val="24"/>
                <w:szCs w:val="24"/>
              </w:rPr>
              <w:t>16- to 24-year-olds</w:t>
            </w:r>
            <w:r w:rsidR="00555547" w:rsidRPr="00937C4F">
              <w:rPr>
                <w:sz w:val="24"/>
                <w:szCs w:val="24"/>
              </w:rPr>
              <w:t xml:space="preserve">). </w:t>
            </w:r>
          </w:p>
        </w:tc>
        <w:tc>
          <w:tcPr>
            <w:tcW w:w="3930" w:type="dxa"/>
            <w:shd w:val="clear" w:color="auto" w:fill="FFFFFF"/>
          </w:tcPr>
          <w:p w14:paraId="496A7F4E" w14:textId="6E5173B6" w:rsidR="00555547" w:rsidRPr="00937C4F" w:rsidRDefault="00937C4F" w:rsidP="00245CA8">
            <w:pPr>
              <w:pStyle w:val="TableText"/>
              <w:ind w:left="82"/>
              <w:rPr>
                <w:sz w:val="24"/>
                <w:szCs w:val="24"/>
              </w:rPr>
            </w:pPr>
            <w:r w:rsidRPr="00937C4F">
              <w:rPr>
                <w:sz w:val="24"/>
                <w:szCs w:val="24"/>
              </w:rPr>
              <w:t>16–18-year-old</w:t>
            </w:r>
            <w:r w:rsidR="00C50C4F" w:rsidRPr="00937C4F">
              <w:rPr>
                <w:sz w:val="24"/>
                <w:szCs w:val="24"/>
              </w:rPr>
              <w:t xml:space="preserve"> continuing learners must be eligible under the ESFA’s young people’s residency requirements.  Excluding the flexible elements where funding depends on age and level </w:t>
            </w:r>
          </w:p>
        </w:tc>
        <w:tc>
          <w:tcPr>
            <w:tcW w:w="1701" w:type="dxa"/>
            <w:shd w:val="clear" w:color="auto" w:fill="FFFFFF"/>
          </w:tcPr>
          <w:p w14:paraId="09FFB859" w14:textId="5ED61C9B" w:rsidR="00555547" w:rsidRPr="00937C4F" w:rsidRDefault="00555547" w:rsidP="00245CA8">
            <w:pPr>
              <w:pStyle w:val="TableText"/>
              <w:rPr>
                <w:sz w:val="24"/>
                <w:szCs w:val="24"/>
              </w:rPr>
            </w:pPr>
            <w:r w:rsidRPr="00937C4F">
              <w:rPr>
                <w:sz w:val="24"/>
                <w:szCs w:val="24"/>
              </w:rPr>
              <w:t>Fully funded</w:t>
            </w:r>
          </w:p>
        </w:tc>
      </w:tr>
    </w:tbl>
    <w:p w14:paraId="0C00B2C3" w14:textId="77777777" w:rsidR="006C319A" w:rsidRPr="006C319A" w:rsidRDefault="006C319A" w:rsidP="00245CA8">
      <w:pPr>
        <w:jc w:val="left"/>
        <w:rPr>
          <w:rFonts w:ascii="Century Gothic" w:eastAsia="MS Mincho" w:hAnsi="Century Gothic" w:cs="MS Mincho"/>
          <w:b/>
          <w:highlight w:val="yellow"/>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6"/>
        <w:gridCol w:w="3969"/>
        <w:gridCol w:w="1701"/>
      </w:tblGrid>
      <w:tr w:rsidR="00937C4F" w14:paraId="7F0F8850" w14:textId="77777777" w:rsidTr="00937C4F">
        <w:trPr>
          <w:tblHeader/>
        </w:trPr>
        <w:tc>
          <w:tcPr>
            <w:tcW w:w="9356" w:type="dxa"/>
            <w:gridSpan w:val="3"/>
            <w:shd w:val="clear" w:color="auto" w:fill="D0CECE" w:themeFill="background2" w:themeFillShade="E6"/>
            <w:tcMar>
              <w:top w:w="150" w:type="dxa"/>
              <w:left w:w="0" w:type="dxa"/>
              <w:bottom w:w="150" w:type="dxa"/>
              <w:right w:w="300" w:type="dxa"/>
            </w:tcMar>
          </w:tcPr>
          <w:p w14:paraId="1102B3F0" w14:textId="77777777" w:rsidR="00937C4F" w:rsidRPr="00937C4F" w:rsidRDefault="00937C4F" w:rsidP="00245CA8">
            <w:pPr>
              <w:pStyle w:val="TableBold"/>
              <w:ind w:left="121"/>
              <w:rPr>
                <w:sz w:val="28"/>
                <w:szCs w:val="28"/>
              </w:rPr>
            </w:pPr>
            <w:r w:rsidRPr="00937C4F">
              <w:rPr>
                <w:sz w:val="28"/>
                <w:szCs w:val="28"/>
              </w:rPr>
              <w:lastRenderedPageBreak/>
              <w:t xml:space="preserve">For 24+ year olds </w:t>
            </w:r>
          </w:p>
          <w:p w14:paraId="69FBE1BA" w14:textId="12C3D389" w:rsidR="00937C4F" w:rsidRPr="00937C4F" w:rsidRDefault="00937C4F" w:rsidP="00245CA8">
            <w:pPr>
              <w:ind w:left="121"/>
              <w:jc w:val="left"/>
              <w:rPr>
                <w:rFonts w:ascii="Century Gothic" w:eastAsia="MS Mincho" w:hAnsi="Century Gothic" w:cs="MS Mincho"/>
                <w:bCs/>
              </w:rPr>
            </w:pPr>
            <w:r w:rsidRPr="00937C4F">
              <w:rPr>
                <w:rFonts w:ascii="Century Gothic" w:eastAsia="MS Mincho" w:hAnsi="Century Gothic" w:cs="MS Mincho"/>
                <w:bCs/>
              </w:rPr>
              <w:t>A learner is classed as being 24+ for funding purposes if they have turned 24 by the first day of learning.</w:t>
            </w:r>
          </w:p>
        </w:tc>
      </w:tr>
      <w:tr w:rsidR="00C50C4F" w14:paraId="3C1806B6" w14:textId="3872A9BF" w:rsidTr="00937C4F">
        <w:trPr>
          <w:tblHeader/>
        </w:trPr>
        <w:tc>
          <w:tcPr>
            <w:tcW w:w="3686" w:type="dxa"/>
            <w:shd w:val="clear" w:color="auto" w:fill="FFFFFF"/>
            <w:tcMar>
              <w:top w:w="150" w:type="dxa"/>
              <w:left w:w="0" w:type="dxa"/>
              <w:bottom w:w="150" w:type="dxa"/>
              <w:right w:w="300" w:type="dxa"/>
            </w:tcMar>
            <w:hideMark/>
          </w:tcPr>
          <w:p w14:paraId="64B0FCF3" w14:textId="77777777" w:rsidR="00C50C4F" w:rsidRPr="00937C4F" w:rsidRDefault="00C50C4F" w:rsidP="00245CA8">
            <w:pPr>
              <w:pStyle w:val="TableBold"/>
              <w:ind w:left="146"/>
              <w:rPr>
                <w:sz w:val="24"/>
                <w:szCs w:val="24"/>
              </w:rPr>
            </w:pPr>
            <w:r w:rsidRPr="00937C4F">
              <w:rPr>
                <w:sz w:val="24"/>
                <w:szCs w:val="24"/>
              </w:rPr>
              <w:t>Provision</w:t>
            </w:r>
          </w:p>
        </w:tc>
        <w:tc>
          <w:tcPr>
            <w:tcW w:w="3969" w:type="dxa"/>
            <w:shd w:val="clear" w:color="auto" w:fill="FFFFFF"/>
            <w:tcMar>
              <w:top w:w="150" w:type="dxa"/>
              <w:left w:w="0" w:type="dxa"/>
              <w:bottom w:w="150" w:type="dxa"/>
              <w:right w:w="0" w:type="dxa"/>
            </w:tcMar>
            <w:hideMark/>
          </w:tcPr>
          <w:p w14:paraId="09A939B8" w14:textId="77777777" w:rsidR="00C50C4F" w:rsidRPr="00937C4F" w:rsidRDefault="00C50C4F" w:rsidP="00245CA8">
            <w:pPr>
              <w:pStyle w:val="TableBold"/>
              <w:ind w:left="142"/>
              <w:rPr>
                <w:sz w:val="24"/>
                <w:szCs w:val="24"/>
              </w:rPr>
            </w:pPr>
            <w:r w:rsidRPr="00937C4F">
              <w:rPr>
                <w:sz w:val="24"/>
                <w:szCs w:val="24"/>
              </w:rPr>
              <w:t>Notes</w:t>
            </w:r>
          </w:p>
        </w:tc>
        <w:tc>
          <w:tcPr>
            <w:tcW w:w="1701" w:type="dxa"/>
            <w:shd w:val="clear" w:color="auto" w:fill="FFFFFF"/>
          </w:tcPr>
          <w:p w14:paraId="005F9B7F" w14:textId="05EEBDEE" w:rsidR="00C50C4F" w:rsidRPr="00937C4F" w:rsidRDefault="00C50C4F" w:rsidP="00245CA8">
            <w:pPr>
              <w:pStyle w:val="TableBold"/>
              <w:ind w:left="121"/>
              <w:rPr>
                <w:sz w:val="24"/>
                <w:szCs w:val="24"/>
              </w:rPr>
            </w:pPr>
            <w:r w:rsidRPr="00937C4F">
              <w:rPr>
                <w:sz w:val="24"/>
                <w:szCs w:val="24"/>
              </w:rPr>
              <w:t>Funding</w:t>
            </w:r>
          </w:p>
        </w:tc>
      </w:tr>
      <w:tr w:rsidR="00C50C4F" w:rsidRPr="000D3012" w14:paraId="08C66633" w14:textId="30E26901" w:rsidTr="00937C4F">
        <w:trPr>
          <w:cantSplit/>
        </w:trPr>
        <w:tc>
          <w:tcPr>
            <w:tcW w:w="3686" w:type="dxa"/>
            <w:shd w:val="clear" w:color="auto" w:fill="FFFFFF"/>
            <w:tcMar>
              <w:top w:w="150" w:type="dxa"/>
              <w:left w:w="0" w:type="dxa"/>
              <w:bottom w:w="150" w:type="dxa"/>
              <w:right w:w="300" w:type="dxa"/>
            </w:tcMar>
            <w:hideMark/>
          </w:tcPr>
          <w:p w14:paraId="00C636CF" w14:textId="0A2EDC15" w:rsidR="00C50C4F" w:rsidRPr="00937C4F" w:rsidRDefault="00C50C4F" w:rsidP="00245CA8">
            <w:pPr>
              <w:pStyle w:val="TableText"/>
              <w:ind w:left="146"/>
              <w:rPr>
                <w:sz w:val="24"/>
                <w:szCs w:val="24"/>
              </w:rPr>
            </w:pPr>
            <w:r w:rsidRPr="00937C4F">
              <w:rPr>
                <w:rFonts w:cs="Arial"/>
                <w:sz w:val="24"/>
                <w:szCs w:val="24"/>
              </w:rPr>
              <w:t>English and maths</w:t>
            </w:r>
            <w:r w:rsidR="00541892">
              <w:rPr>
                <w:rFonts w:cs="Arial"/>
                <w:sz w:val="24"/>
                <w:szCs w:val="24"/>
              </w:rPr>
              <w:t xml:space="preserve"> for those aged 19 and over,</w:t>
            </w:r>
            <w:r w:rsidR="00937C4F" w:rsidRPr="00937C4F">
              <w:rPr>
                <w:rFonts w:cs="Arial"/>
                <w:sz w:val="24"/>
                <w:szCs w:val="24"/>
              </w:rPr>
              <w:t xml:space="preserve"> </w:t>
            </w:r>
            <w:r w:rsidRPr="00937C4F">
              <w:rPr>
                <w:sz w:val="24"/>
                <w:szCs w:val="24"/>
              </w:rPr>
              <w:t xml:space="preserve">up to and including level 2. </w:t>
            </w:r>
          </w:p>
        </w:tc>
        <w:tc>
          <w:tcPr>
            <w:tcW w:w="3969" w:type="dxa"/>
            <w:shd w:val="clear" w:color="auto" w:fill="FFFFFF"/>
            <w:tcMar>
              <w:top w:w="150" w:type="dxa"/>
              <w:left w:w="0" w:type="dxa"/>
              <w:bottom w:w="150" w:type="dxa"/>
              <w:right w:w="0" w:type="dxa"/>
            </w:tcMar>
            <w:hideMark/>
          </w:tcPr>
          <w:p w14:paraId="30E2D306" w14:textId="77777777" w:rsidR="00C50C4F" w:rsidRPr="00937C4F" w:rsidRDefault="00C50C4F" w:rsidP="00245CA8">
            <w:pPr>
              <w:pStyle w:val="TableText"/>
              <w:ind w:left="142"/>
              <w:rPr>
                <w:sz w:val="24"/>
                <w:szCs w:val="24"/>
              </w:rPr>
            </w:pPr>
            <w:r w:rsidRPr="00937C4F">
              <w:rPr>
                <w:sz w:val="24"/>
                <w:szCs w:val="24"/>
              </w:rPr>
              <w:t>Must be delivered as part of the legal entitlement qualifications.</w:t>
            </w:r>
          </w:p>
        </w:tc>
        <w:tc>
          <w:tcPr>
            <w:tcW w:w="1701" w:type="dxa"/>
            <w:shd w:val="clear" w:color="auto" w:fill="FFFFFF"/>
          </w:tcPr>
          <w:p w14:paraId="3203CE2A" w14:textId="32F91972" w:rsidR="00C50C4F" w:rsidRPr="00937C4F" w:rsidRDefault="00C50C4F" w:rsidP="00245CA8">
            <w:pPr>
              <w:pStyle w:val="TableText"/>
              <w:ind w:left="121"/>
              <w:rPr>
                <w:sz w:val="24"/>
                <w:szCs w:val="24"/>
              </w:rPr>
            </w:pPr>
            <w:r w:rsidRPr="00937C4F">
              <w:rPr>
                <w:sz w:val="24"/>
                <w:szCs w:val="24"/>
              </w:rPr>
              <w:t>Fully funded</w:t>
            </w:r>
          </w:p>
        </w:tc>
      </w:tr>
      <w:tr w:rsidR="00C50C4F" w:rsidRPr="000D3012" w14:paraId="2FF82BCC" w14:textId="38824254" w:rsidTr="00937C4F">
        <w:trPr>
          <w:cantSplit/>
        </w:trPr>
        <w:tc>
          <w:tcPr>
            <w:tcW w:w="3686" w:type="dxa"/>
            <w:shd w:val="clear" w:color="auto" w:fill="FFFFFF"/>
            <w:tcMar>
              <w:top w:w="150" w:type="dxa"/>
              <w:left w:w="0" w:type="dxa"/>
              <w:bottom w:w="150" w:type="dxa"/>
              <w:right w:w="300" w:type="dxa"/>
            </w:tcMar>
          </w:tcPr>
          <w:p w14:paraId="3E4B5DE9" w14:textId="31E383BC" w:rsidR="00C50C4F" w:rsidRPr="00937C4F" w:rsidRDefault="00C50C4F" w:rsidP="00245CA8">
            <w:pPr>
              <w:pStyle w:val="TableText"/>
              <w:ind w:left="146"/>
              <w:rPr>
                <w:rFonts w:cs="Arial"/>
                <w:sz w:val="24"/>
                <w:szCs w:val="24"/>
              </w:rPr>
            </w:pPr>
            <w:r w:rsidRPr="00937C4F">
              <w:rPr>
                <w:rFonts w:cs="Arial"/>
                <w:sz w:val="24"/>
                <w:szCs w:val="24"/>
              </w:rPr>
              <w:t xml:space="preserve">Essential digital skills and digital functional skills qualifications up to and including level 1. </w:t>
            </w:r>
          </w:p>
        </w:tc>
        <w:tc>
          <w:tcPr>
            <w:tcW w:w="3969" w:type="dxa"/>
            <w:shd w:val="clear" w:color="auto" w:fill="FFFFFF"/>
            <w:tcMar>
              <w:top w:w="150" w:type="dxa"/>
              <w:left w:w="0" w:type="dxa"/>
              <w:bottom w:w="150" w:type="dxa"/>
              <w:right w:w="0" w:type="dxa"/>
            </w:tcMar>
          </w:tcPr>
          <w:p w14:paraId="0360B479" w14:textId="77777777" w:rsidR="00C50C4F" w:rsidRPr="00937C4F" w:rsidRDefault="00C50C4F" w:rsidP="00245CA8">
            <w:pPr>
              <w:pStyle w:val="TableText"/>
              <w:ind w:left="142"/>
              <w:rPr>
                <w:sz w:val="24"/>
                <w:szCs w:val="24"/>
              </w:rPr>
            </w:pPr>
            <w:r w:rsidRPr="00937C4F">
              <w:rPr>
                <w:sz w:val="24"/>
                <w:szCs w:val="24"/>
              </w:rPr>
              <w:t>Must be delivered as part of the legal entitlement qualifications.</w:t>
            </w:r>
          </w:p>
        </w:tc>
        <w:tc>
          <w:tcPr>
            <w:tcW w:w="1701" w:type="dxa"/>
            <w:shd w:val="clear" w:color="auto" w:fill="FFFFFF"/>
          </w:tcPr>
          <w:p w14:paraId="0E454361" w14:textId="1951F6EB" w:rsidR="00C50C4F" w:rsidRPr="00937C4F" w:rsidRDefault="00C50C4F" w:rsidP="00245CA8">
            <w:pPr>
              <w:pStyle w:val="TableText"/>
              <w:ind w:left="121"/>
              <w:rPr>
                <w:sz w:val="24"/>
                <w:szCs w:val="24"/>
              </w:rPr>
            </w:pPr>
            <w:r w:rsidRPr="00937C4F">
              <w:rPr>
                <w:sz w:val="24"/>
                <w:szCs w:val="24"/>
              </w:rPr>
              <w:t>Fully funded</w:t>
            </w:r>
          </w:p>
        </w:tc>
      </w:tr>
      <w:tr w:rsidR="00937C4F" w:rsidRPr="000D3012" w14:paraId="401DBE29" w14:textId="7FEF82A0" w:rsidTr="00937C4F">
        <w:trPr>
          <w:cantSplit/>
        </w:trPr>
        <w:tc>
          <w:tcPr>
            <w:tcW w:w="3686" w:type="dxa"/>
            <w:vMerge w:val="restart"/>
            <w:shd w:val="clear" w:color="auto" w:fill="FFFFFF"/>
            <w:tcMar>
              <w:top w:w="150" w:type="dxa"/>
              <w:left w:w="0" w:type="dxa"/>
              <w:bottom w:w="150" w:type="dxa"/>
              <w:right w:w="300" w:type="dxa"/>
            </w:tcMar>
          </w:tcPr>
          <w:p w14:paraId="5EB50088" w14:textId="432AD86F" w:rsidR="00937C4F" w:rsidRPr="00937C4F" w:rsidRDefault="00937C4F" w:rsidP="00245CA8">
            <w:pPr>
              <w:pStyle w:val="TableText"/>
              <w:ind w:left="146"/>
              <w:rPr>
                <w:rFonts w:cs="Arial"/>
                <w:sz w:val="24"/>
                <w:szCs w:val="24"/>
              </w:rPr>
            </w:pPr>
            <w:r w:rsidRPr="00937C4F">
              <w:rPr>
                <w:rFonts w:cs="Arial"/>
                <w:sz w:val="24"/>
                <w:szCs w:val="24"/>
              </w:rPr>
              <w:t xml:space="preserve">Full level 2 (excluding English and maths) </w:t>
            </w:r>
          </w:p>
        </w:tc>
        <w:tc>
          <w:tcPr>
            <w:tcW w:w="3969" w:type="dxa"/>
            <w:shd w:val="clear" w:color="auto" w:fill="FFFFFF"/>
            <w:tcMar>
              <w:top w:w="150" w:type="dxa"/>
              <w:left w:w="0" w:type="dxa"/>
              <w:bottom w:w="150" w:type="dxa"/>
              <w:right w:w="0" w:type="dxa"/>
            </w:tcMar>
          </w:tcPr>
          <w:p w14:paraId="65210DDD" w14:textId="77777777" w:rsidR="00937C4F" w:rsidRPr="00937C4F" w:rsidRDefault="00937C4F" w:rsidP="00245CA8">
            <w:pPr>
              <w:pStyle w:val="TableText"/>
              <w:ind w:left="142"/>
              <w:rPr>
                <w:sz w:val="24"/>
                <w:szCs w:val="24"/>
              </w:rPr>
            </w:pPr>
            <w:r w:rsidRPr="00937C4F">
              <w:rPr>
                <w:sz w:val="24"/>
                <w:szCs w:val="24"/>
              </w:rPr>
              <w:t>For those eligible through unemployed or in receipt of a low wage.</w:t>
            </w:r>
          </w:p>
        </w:tc>
        <w:tc>
          <w:tcPr>
            <w:tcW w:w="1701" w:type="dxa"/>
            <w:shd w:val="clear" w:color="auto" w:fill="FFFFFF"/>
          </w:tcPr>
          <w:p w14:paraId="52C7E569" w14:textId="787A5A4D" w:rsidR="00937C4F" w:rsidRPr="00937C4F" w:rsidRDefault="00937C4F" w:rsidP="00245CA8">
            <w:pPr>
              <w:pStyle w:val="TableText"/>
              <w:ind w:left="121"/>
              <w:rPr>
                <w:sz w:val="24"/>
                <w:szCs w:val="24"/>
              </w:rPr>
            </w:pPr>
            <w:r w:rsidRPr="00937C4F">
              <w:rPr>
                <w:sz w:val="24"/>
                <w:szCs w:val="24"/>
              </w:rPr>
              <w:t>Fully funded</w:t>
            </w:r>
          </w:p>
        </w:tc>
      </w:tr>
      <w:tr w:rsidR="00937C4F" w:rsidRPr="000D3012" w14:paraId="20282C08" w14:textId="37F3548A" w:rsidTr="00937C4F">
        <w:trPr>
          <w:cantSplit/>
        </w:trPr>
        <w:tc>
          <w:tcPr>
            <w:tcW w:w="3686" w:type="dxa"/>
            <w:vMerge/>
            <w:shd w:val="clear" w:color="auto" w:fill="FFFFFF"/>
            <w:tcMar>
              <w:top w:w="150" w:type="dxa"/>
              <w:left w:w="0" w:type="dxa"/>
              <w:bottom w:w="150" w:type="dxa"/>
              <w:right w:w="300" w:type="dxa"/>
            </w:tcMar>
          </w:tcPr>
          <w:p w14:paraId="501513CB" w14:textId="32A5BAA5" w:rsidR="00937C4F" w:rsidRPr="00937C4F" w:rsidRDefault="00937C4F" w:rsidP="00245CA8">
            <w:pPr>
              <w:pStyle w:val="TableText"/>
              <w:ind w:left="146"/>
              <w:rPr>
                <w:rFonts w:cs="Arial"/>
                <w:sz w:val="24"/>
                <w:szCs w:val="24"/>
              </w:rPr>
            </w:pPr>
          </w:p>
        </w:tc>
        <w:tc>
          <w:tcPr>
            <w:tcW w:w="3969" w:type="dxa"/>
            <w:shd w:val="clear" w:color="auto" w:fill="FFFFFF"/>
            <w:tcMar>
              <w:top w:w="150" w:type="dxa"/>
              <w:left w:w="0" w:type="dxa"/>
              <w:bottom w:w="150" w:type="dxa"/>
              <w:right w:w="0" w:type="dxa"/>
            </w:tcMar>
          </w:tcPr>
          <w:p w14:paraId="04613483" w14:textId="77777777" w:rsidR="00937C4F" w:rsidRPr="00937C4F" w:rsidRDefault="00937C4F" w:rsidP="00245CA8">
            <w:pPr>
              <w:pStyle w:val="TableText"/>
              <w:ind w:left="142"/>
              <w:rPr>
                <w:sz w:val="24"/>
                <w:szCs w:val="24"/>
              </w:rPr>
            </w:pPr>
            <w:r w:rsidRPr="00937C4F">
              <w:rPr>
                <w:sz w:val="24"/>
                <w:szCs w:val="24"/>
              </w:rPr>
              <w:t>For those who do not meet the definition of unemployed or do not meet the eligibility criteria for learners in receipt of low wage.</w:t>
            </w:r>
          </w:p>
        </w:tc>
        <w:tc>
          <w:tcPr>
            <w:tcW w:w="1701" w:type="dxa"/>
            <w:shd w:val="clear" w:color="auto" w:fill="FFFFFF"/>
          </w:tcPr>
          <w:p w14:paraId="21E175C5" w14:textId="08E74060" w:rsidR="00937C4F" w:rsidRPr="00937C4F" w:rsidRDefault="00937C4F" w:rsidP="00245CA8">
            <w:pPr>
              <w:pStyle w:val="TableText"/>
              <w:ind w:left="121"/>
              <w:rPr>
                <w:sz w:val="24"/>
                <w:szCs w:val="24"/>
              </w:rPr>
            </w:pPr>
            <w:r w:rsidRPr="00937C4F">
              <w:rPr>
                <w:sz w:val="24"/>
                <w:szCs w:val="24"/>
              </w:rPr>
              <w:t>Co-funded</w:t>
            </w:r>
          </w:p>
        </w:tc>
      </w:tr>
      <w:tr w:rsidR="00937C4F" w:rsidRPr="000D3012" w14:paraId="516E5A5F" w14:textId="2FBD3E28" w:rsidTr="00937C4F">
        <w:trPr>
          <w:cantSplit/>
        </w:trPr>
        <w:tc>
          <w:tcPr>
            <w:tcW w:w="3686" w:type="dxa"/>
            <w:vMerge w:val="restart"/>
            <w:shd w:val="clear" w:color="auto" w:fill="FFFFFF"/>
            <w:tcMar>
              <w:top w:w="150" w:type="dxa"/>
              <w:left w:w="0" w:type="dxa"/>
              <w:bottom w:w="150" w:type="dxa"/>
              <w:right w:w="300" w:type="dxa"/>
            </w:tcMar>
          </w:tcPr>
          <w:p w14:paraId="402DE95A" w14:textId="45D01607" w:rsidR="00937C4F" w:rsidRPr="00937C4F" w:rsidRDefault="00937C4F" w:rsidP="00245CA8">
            <w:pPr>
              <w:pStyle w:val="TableText"/>
              <w:ind w:left="146"/>
              <w:rPr>
                <w:rFonts w:cs="Arial"/>
                <w:sz w:val="24"/>
                <w:szCs w:val="24"/>
              </w:rPr>
            </w:pPr>
            <w:r w:rsidRPr="00937C4F">
              <w:rPr>
                <w:rFonts w:cs="Arial"/>
                <w:sz w:val="24"/>
                <w:szCs w:val="24"/>
              </w:rPr>
              <w:t xml:space="preserve">Learning to progress to level 2. </w:t>
            </w:r>
          </w:p>
        </w:tc>
        <w:tc>
          <w:tcPr>
            <w:tcW w:w="3969" w:type="dxa"/>
            <w:shd w:val="clear" w:color="auto" w:fill="FFFFFF"/>
            <w:tcMar>
              <w:top w:w="150" w:type="dxa"/>
              <w:left w:w="0" w:type="dxa"/>
              <w:bottom w:w="150" w:type="dxa"/>
              <w:right w:w="0" w:type="dxa"/>
            </w:tcMar>
          </w:tcPr>
          <w:p w14:paraId="7AB01DA6" w14:textId="09865178" w:rsidR="00937C4F" w:rsidRPr="00937C4F" w:rsidRDefault="00937C4F" w:rsidP="00245CA8">
            <w:pPr>
              <w:pStyle w:val="TableText"/>
              <w:ind w:left="142"/>
              <w:rPr>
                <w:sz w:val="24"/>
                <w:szCs w:val="24"/>
              </w:rPr>
            </w:pPr>
            <w:r w:rsidRPr="00937C4F">
              <w:rPr>
                <w:sz w:val="24"/>
                <w:szCs w:val="24"/>
              </w:rPr>
              <w:t>For those eligible for their first full level 2 as they meet the unemployed criteria or who are in receipt of low wage</w:t>
            </w:r>
          </w:p>
        </w:tc>
        <w:tc>
          <w:tcPr>
            <w:tcW w:w="1701" w:type="dxa"/>
            <w:shd w:val="clear" w:color="auto" w:fill="FFFFFF"/>
          </w:tcPr>
          <w:p w14:paraId="1AF2939D" w14:textId="2A9D54DB" w:rsidR="00937C4F" w:rsidRPr="00937C4F" w:rsidRDefault="00937C4F" w:rsidP="00245CA8">
            <w:pPr>
              <w:pStyle w:val="TableText"/>
              <w:ind w:left="121"/>
              <w:rPr>
                <w:sz w:val="24"/>
                <w:szCs w:val="24"/>
              </w:rPr>
            </w:pPr>
            <w:r w:rsidRPr="00937C4F">
              <w:rPr>
                <w:sz w:val="24"/>
                <w:szCs w:val="24"/>
              </w:rPr>
              <w:t>Fully funded</w:t>
            </w:r>
          </w:p>
        </w:tc>
      </w:tr>
      <w:tr w:rsidR="00937C4F" w:rsidRPr="000D3012" w14:paraId="718E1F7E" w14:textId="2E993421" w:rsidTr="00937C4F">
        <w:trPr>
          <w:cantSplit/>
        </w:trPr>
        <w:tc>
          <w:tcPr>
            <w:tcW w:w="3686" w:type="dxa"/>
            <w:vMerge/>
            <w:shd w:val="clear" w:color="auto" w:fill="FFFFFF"/>
            <w:tcMar>
              <w:top w:w="150" w:type="dxa"/>
              <w:left w:w="0" w:type="dxa"/>
              <w:bottom w:w="150" w:type="dxa"/>
              <w:right w:w="300" w:type="dxa"/>
            </w:tcMar>
          </w:tcPr>
          <w:p w14:paraId="118DCC1A" w14:textId="00F01734" w:rsidR="00937C4F" w:rsidRPr="00937C4F" w:rsidRDefault="00937C4F" w:rsidP="00245CA8">
            <w:pPr>
              <w:pStyle w:val="TableText"/>
              <w:ind w:left="146"/>
              <w:rPr>
                <w:rFonts w:cs="Arial"/>
                <w:sz w:val="24"/>
                <w:szCs w:val="24"/>
              </w:rPr>
            </w:pPr>
          </w:p>
        </w:tc>
        <w:tc>
          <w:tcPr>
            <w:tcW w:w="3969" w:type="dxa"/>
            <w:shd w:val="clear" w:color="auto" w:fill="FFFFFF"/>
            <w:tcMar>
              <w:top w:w="150" w:type="dxa"/>
              <w:left w:w="0" w:type="dxa"/>
              <w:bottom w:w="150" w:type="dxa"/>
              <w:right w:w="0" w:type="dxa"/>
            </w:tcMar>
          </w:tcPr>
          <w:p w14:paraId="11F7FC13" w14:textId="77777777" w:rsidR="00937C4F" w:rsidRPr="00937C4F" w:rsidRDefault="00937C4F" w:rsidP="00245CA8">
            <w:pPr>
              <w:pStyle w:val="TableText"/>
              <w:ind w:left="142"/>
              <w:rPr>
                <w:sz w:val="24"/>
                <w:szCs w:val="24"/>
              </w:rPr>
            </w:pPr>
            <w:r w:rsidRPr="00937C4F">
              <w:rPr>
                <w:sz w:val="24"/>
                <w:szCs w:val="24"/>
              </w:rPr>
              <w:t>For those who do not meet the definition of unemployed or do not meet the eligibility criteria for learners in receipt of low wage.</w:t>
            </w:r>
          </w:p>
        </w:tc>
        <w:tc>
          <w:tcPr>
            <w:tcW w:w="1701" w:type="dxa"/>
            <w:shd w:val="clear" w:color="auto" w:fill="FFFFFF"/>
          </w:tcPr>
          <w:p w14:paraId="3F488285" w14:textId="77777777" w:rsidR="00937C4F" w:rsidRDefault="00937C4F" w:rsidP="00245CA8">
            <w:pPr>
              <w:pStyle w:val="TableText"/>
              <w:ind w:left="121"/>
              <w:rPr>
                <w:sz w:val="24"/>
                <w:szCs w:val="24"/>
              </w:rPr>
            </w:pPr>
            <w:r w:rsidRPr="00937C4F">
              <w:rPr>
                <w:sz w:val="24"/>
                <w:szCs w:val="24"/>
              </w:rPr>
              <w:t>Co-funded</w:t>
            </w:r>
          </w:p>
          <w:p w14:paraId="0A400272" w14:textId="77777777" w:rsidR="0090573C" w:rsidRDefault="0090573C" w:rsidP="00245CA8">
            <w:pPr>
              <w:pStyle w:val="TableText"/>
              <w:ind w:left="121"/>
              <w:rPr>
                <w:sz w:val="24"/>
                <w:szCs w:val="24"/>
              </w:rPr>
            </w:pPr>
          </w:p>
          <w:p w14:paraId="2F8B528C" w14:textId="77777777" w:rsidR="0090573C" w:rsidRDefault="0090573C" w:rsidP="00245CA8">
            <w:pPr>
              <w:pStyle w:val="TableText"/>
              <w:ind w:left="121"/>
              <w:rPr>
                <w:sz w:val="24"/>
                <w:szCs w:val="24"/>
              </w:rPr>
            </w:pPr>
          </w:p>
          <w:p w14:paraId="44606A92" w14:textId="70CD0EF3" w:rsidR="0090573C" w:rsidRPr="00937C4F" w:rsidRDefault="0090573C" w:rsidP="00245CA8">
            <w:pPr>
              <w:pStyle w:val="TableText"/>
              <w:rPr>
                <w:sz w:val="24"/>
                <w:szCs w:val="24"/>
              </w:rPr>
            </w:pPr>
          </w:p>
        </w:tc>
      </w:tr>
      <w:tr w:rsidR="00937C4F" w:rsidRPr="000D3012" w14:paraId="39BE72B5" w14:textId="0FB2E960" w:rsidTr="00937C4F">
        <w:trPr>
          <w:cantSplit/>
        </w:trPr>
        <w:tc>
          <w:tcPr>
            <w:tcW w:w="3686" w:type="dxa"/>
            <w:shd w:val="clear" w:color="auto" w:fill="FFFFFF"/>
            <w:tcMar>
              <w:top w:w="150" w:type="dxa"/>
              <w:left w:w="0" w:type="dxa"/>
              <w:bottom w:w="150" w:type="dxa"/>
              <w:right w:w="300" w:type="dxa"/>
            </w:tcMar>
          </w:tcPr>
          <w:p w14:paraId="745B269F" w14:textId="20AB7D5F" w:rsidR="00937C4F" w:rsidRPr="00937C4F" w:rsidRDefault="00937C4F" w:rsidP="00245CA8">
            <w:pPr>
              <w:pStyle w:val="TableText"/>
              <w:ind w:left="146"/>
              <w:rPr>
                <w:rFonts w:cs="Arial"/>
                <w:sz w:val="24"/>
                <w:szCs w:val="24"/>
              </w:rPr>
            </w:pPr>
            <w:r w:rsidRPr="00937C4F">
              <w:rPr>
                <w:rFonts w:cs="Arial"/>
                <w:sz w:val="24"/>
                <w:szCs w:val="24"/>
              </w:rPr>
              <w:t xml:space="preserve">English for speakers of other languages (ESOL) learning up to and including level 2 </w:t>
            </w:r>
          </w:p>
        </w:tc>
        <w:tc>
          <w:tcPr>
            <w:tcW w:w="3969" w:type="dxa"/>
            <w:shd w:val="clear" w:color="auto" w:fill="FFFFFF"/>
            <w:tcMar>
              <w:top w:w="150" w:type="dxa"/>
              <w:left w:w="0" w:type="dxa"/>
              <w:bottom w:w="150" w:type="dxa"/>
              <w:right w:w="0" w:type="dxa"/>
            </w:tcMar>
          </w:tcPr>
          <w:p w14:paraId="6E4720B3" w14:textId="77777777" w:rsidR="00937C4F" w:rsidRPr="00937C4F" w:rsidRDefault="00937C4F" w:rsidP="00245CA8">
            <w:pPr>
              <w:pStyle w:val="TableText"/>
              <w:ind w:left="142"/>
              <w:rPr>
                <w:sz w:val="24"/>
                <w:szCs w:val="24"/>
              </w:rPr>
            </w:pPr>
            <w:r w:rsidRPr="00937C4F">
              <w:rPr>
                <w:sz w:val="24"/>
                <w:szCs w:val="24"/>
              </w:rPr>
              <w:t>For those who meet the unemployed criteria or who are in receipt of a low wage.</w:t>
            </w:r>
          </w:p>
        </w:tc>
        <w:tc>
          <w:tcPr>
            <w:tcW w:w="1701" w:type="dxa"/>
            <w:shd w:val="clear" w:color="auto" w:fill="FFFFFF"/>
          </w:tcPr>
          <w:p w14:paraId="13DE8415" w14:textId="05C385BA" w:rsidR="00937C4F" w:rsidRPr="00937C4F" w:rsidRDefault="00937C4F" w:rsidP="00245CA8">
            <w:pPr>
              <w:pStyle w:val="TableText"/>
              <w:ind w:left="121"/>
              <w:rPr>
                <w:sz w:val="24"/>
                <w:szCs w:val="24"/>
              </w:rPr>
            </w:pPr>
            <w:r w:rsidRPr="00937C4F">
              <w:rPr>
                <w:sz w:val="24"/>
                <w:szCs w:val="24"/>
              </w:rPr>
              <w:t>Fully funded</w:t>
            </w:r>
          </w:p>
        </w:tc>
      </w:tr>
      <w:tr w:rsidR="00937C4F" w:rsidRPr="00CF40EA" w14:paraId="43A73B48" w14:textId="3B768910" w:rsidTr="00937C4F">
        <w:trPr>
          <w:cantSplit/>
        </w:trPr>
        <w:tc>
          <w:tcPr>
            <w:tcW w:w="3686" w:type="dxa"/>
            <w:shd w:val="clear" w:color="auto" w:fill="FFFFFF"/>
            <w:tcMar>
              <w:top w:w="150" w:type="dxa"/>
              <w:left w:w="0" w:type="dxa"/>
              <w:bottom w:w="150" w:type="dxa"/>
              <w:right w:w="300" w:type="dxa"/>
            </w:tcMar>
          </w:tcPr>
          <w:p w14:paraId="5A435102" w14:textId="41894B83" w:rsidR="00937C4F" w:rsidRPr="00937C4F" w:rsidRDefault="007247CA" w:rsidP="00245CA8">
            <w:pPr>
              <w:pStyle w:val="TableText"/>
              <w:ind w:left="146"/>
              <w:rPr>
                <w:rFonts w:cs="Arial"/>
                <w:sz w:val="24"/>
                <w:szCs w:val="24"/>
              </w:rPr>
            </w:pPr>
            <w:r w:rsidRPr="00937C4F">
              <w:rPr>
                <w:rFonts w:cs="Arial"/>
                <w:sz w:val="24"/>
                <w:szCs w:val="24"/>
              </w:rPr>
              <w:lastRenderedPageBreak/>
              <w:t>English for speakers of other languages (ESOL) learning up to and including level 2</w:t>
            </w:r>
          </w:p>
        </w:tc>
        <w:tc>
          <w:tcPr>
            <w:tcW w:w="3969" w:type="dxa"/>
            <w:shd w:val="clear" w:color="auto" w:fill="FFFFFF"/>
            <w:tcMar>
              <w:top w:w="150" w:type="dxa"/>
              <w:left w:w="0" w:type="dxa"/>
              <w:bottom w:w="150" w:type="dxa"/>
              <w:right w:w="0" w:type="dxa"/>
            </w:tcMar>
          </w:tcPr>
          <w:p w14:paraId="67766255" w14:textId="77777777" w:rsidR="00937C4F" w:rsidRPr="00937C4F" w:rsidRDefault="00937C4F" w:rsidP="00245CA8">
            <w:pPr>
              <w:pStyle w:val="TableText"/>
              <w:ind w:left="142"/>
              <w:rPr>
                <w:sz w:val="24"/>
                <w:szCs w:val="24"/>
              </w:rPr>
            </w:pPr>
            <w:r w:rsidRPr="00937C4F">
              <w:rPr>
                <w:sz w:val="24"/>
                <w:szCs w:val="24"/>
              </w:rPr>
              <w:t>For those who do not meet the definition of unemployed or do not meet the eligibility criteria for learners in receipt of low wage.</w:t>
            </w:r>
          </w:p>
        </w:tc>
        <w:tc>
          <w:tcPr>
            <w:tcW w:w="1701" w:type="dxa"/>
            <w:shd w:val="clear" w:color="auto" w:fill="FFFFFF"/>
          </w:tcPr>
          <w:p w14:paraId="2A9C2F2B" w14:textId="3A4C8268" w:rsidR="00937C4F" w:rsidRPr="00937C4F" w:rsidRDefault="007247CA" w:rsidP="00245CA8">
            <w:pPr>
              <w:pStyle w:val="TableText"/>
              <w:ind w:left="121"/>
              <w:rPr>
                <w:sz w:val="24"/>
                <w:szCs w:val="24"/>
              </w:rPr>
            </w:pPr>
            <w:r>
              <w:rPr>
                <w:sz w:val="24"/>
                <w:szCs w:val="24"/>
              </w:rPr>
              <w:t>Fully funded</w:t>
            </w:r>
          </w:p>
        </w:tc>
      </w:tr>
      <w:tr w:rsidR="00937C4F" w:rsidRPr="009140BA" w14:paraId="7E074544" w14:textId="1DF56432" w:rsidTr="00937C4F">
        <w:trPr>
          <w:cantSplit/>
        </w:trPr>
        <w:tc>
          <w:tcPr>
            <w:tcW w:w="3686" w:type="dxa"/>
            <w:vMerge w:val="restart"/>
            <w:shd w:val="clear" w:color="auto" w:fill="FFFFFF"/>
            <w:tcMar>
              <w:top w:w="150" w:type="dxa"/>
              <w:left w:w="0" w:type="dxa"/>
              <w:bottom w:w="150" w:type="dxa"/>
              <w:right w:w="300" w:type="dxa"/>
            </w:tcMar>
          </w:tcPr>
          <w:p w14:paraId="019A2249" w14:textId="72DBDC54" w:rsidR="00937C4F" w:rsidRPr="00937C4F" w:rsidRDefault="00937C4F" w:rsidP="00245CA8">
            <w:pPr>
              <w:pStyle w:val="TableText"/>
              <w:ind w:left="146"/>
              <w:rPr>
                <w:rFonts w:cs="Arial"/>
                <w:sz w:val="24"/>
                <w:szCs w:val="24"/>
              </w:rPr>
            </w:pPr>
            <w:r w:rsidRPr="00937C4F">
              <w:rPr>
                <w:rFonts w:cs="Arial"/>
                <w:sz w:val="24"/>
                <w:szCs w:val="24"/>
              </w:rPr>
              <w:t xml:space="preserve">Learning aims up to and including level 2, where the learner has already achieved a first full level 2, or above. </w:t>
            </w:r>
          </w:p>
          <w:p w14:paraId="1121F7EE" w14:textId="795F4888" w:rsidR="00937C4F" w:rsidRPr="00937C4F" w:rsidRDefault="00937C4F" w:rsidP="00245CA8">
            <w:pPr>
              <w:pStyle w:val="TableText"/>
              <w:ind w:left="146"/>
              <w:rPr>
                <w:rFonts w:cs="Arial"/>
                <w:sz w:val="24"/>
                <w:szCs w:val="24"/>
              </w:rPr>
            </w:pPr>
          </w:p>
        </w:tc>
        <w:tc>
          <w:tcPr>
            <w:tcW w:w="3969" w:type="dxa"/>
            <w:shd w:val="clear" w:color="auto" w:fill="FFFFFF"/>
            <w:tcMar>
              <w:top w:w="150" w:type="dxa"/>
              <w:left w:w="0" w:type="dxa"/>
              <w:bottom w:w="150" w:type="dxa"/>
              <w:right w:w="0" w:type="dxa"/>
            </w:tcMar>
          </w:tcPr>
          <w:p w14:paraId="7A03C771" w14:textId="5AACC530" w:rsidR="00937C4F" w:rsidRPr="00937C4F" w:rsidRDefault="00AD5672" w:rsidP="00245CA8">
            <w:pPr>
              <w:pStyle w:val="TableText"/>
              <w:ind w:left="142"/>
              <w:rPr>
                <w:sz w:val="24"/>
                <w:szCs w:val="24"/>
              </w:rPr>
            </w:pPr>
            <w:r>
              <w:rPr>
                <w:sz w:val="24"/>
                <w:szCs w:val="24"/>
              </w:rPr>
              <w:t>For those eligible through unemployed or who are in receipt of a low wage.</w:t>
            </w:r>
          </w:p>
        </w:tc>
        <w:tc>
          <w:tcPr>
            <w:tcW w:w="1701" w:type="dxa"/>
            <w:shd w:val="clear" w:color="auto" w:fill="FFFFFF"/>
          </w:tcPr>
          <w:p w14:paraId="1EBF92C5" w14:textId="1C3810AB" w:rsidR="00937C4F" w:rsidRPr="00937C4F" w:rsidRDefault="00937C4F" w:rsidP="00245CA8">
            <w:pPr>
              <w:pStyle w:val="TableText"/>
              <w:ind w:left="121"/>
              <w:rPr>
                <w:sz w:val="24"/>
                <w:szCs w:val="24"/>
              </w:rPr>
            </w:pPr>
            <w:r w:rsidRPr="00937C4F">
              <w:rPr>
                <w:sz w:val="24"/>
                <w:szCs w:val="24"/>
              </w:rPr>
              <w:t>Fully funded</w:t>
            </w:r>
          </w:p>
        </w:tc>
      </w:tr>
      <w:tr w:rsidR="00937C4F" w:rsidRPr="00E85709" w14:paraId="038F7343" w14:textId="3E8587A3" w:rsidTr="00937C4F">
        <w:trPr>
          <w:cantSplit/>
        </w:trPr>
        <w:tc>
          <w:tcPr>
            <w:tcW w:w="3686" w:type="dxa"/>
            <w:vMerge/>
            <w:shd w:val="clear" w:color="auto" w:fill="FFFFFF"/>
            <w:tcMar>
              <w:top w:w="150" w:type="dxa"/>
              <w:left w:w="0" w:type="dxa"/>
              <w:bottom w:w="150" w:type="dxa"/>
              <w:right w:w="300" w:type="dxa"/>
            </w:tcMar>
          </w:tcPr>
          <w:p w14:paraId="2D76D4A7" w14:textId="53ADC1E8" w:rsidR="00937C4F" w:rsidRPr="00937C4F" w:rsidRDefault="00937C4F" w:rsidP="00245CA8">
            <w:pPr>
              <w:pStyle w:val="TableText"/>
              <w:ind w:left="146"/>
              <w:rPr>
                <w:rFonts w:cs="Arial"/>
                <w:sz w:val="24"/>
                <w:szCs w:val="24"/>
              </w:rPr>
            </w:pPr>
          </w:p>
        </w:tc>
        <w:tc>
          <w:tcPr>
            <w:tcW w:w="3969" w:type="dxa"/>
            <w:shd w:val="clear" w:color="auto" w:fill="FFFFFF"/>
            <w:tcMar>
              <w:top w:w="150" w:type="dxa"/>
              <w:left w:w="0" w:type="dxa"/>
              <w:bottom w:w="150" w:type="dxa"/>
              <w:right w:w="0" w:type="dxa"/>
            </w:tcMar>
          </w:tcPr>
          <w:p w14:paraId="30889A2D" w14:textId="77777777" w:rsidR="00937C4F" w:rsidRPr="00937C4F" w:rsidRDefault="00937C4F" w:rsidP="00245CA8">
            <w:pPr>
              <w:pStyle w:val="TableText"/>
              <w:ind w:left="142"/>
              <w:rPr>
                <w:sz w:val="24"/>
                <w:szCs w:val="24"/>
              </w:rPr>
            </w:pPr>
            <w:r w:rsidRPr="00937C4F">
              <w:rPr>
                <w:sz w:val="24"/>
                <w:szCs w:val="24"/>
              </w:rPr>
              <w:t>For those who do not meet the definition of unemployed or do not meet the eligibility criteria for learners in receipt of low wage.</w:t>
            </w:r>
          </w:p>
        </w:tc>
        <w:tc>
          <w:tcPr>
            <w:tcW w:w="1701" w:type="dxa"/>
            <w:shd w:val="clear" w:color="auto" w:fill="FFFFFF"/>
          </w:tcPr>
          <w:p w14:paraId="433C1E8F" w14:textId="2DE42E17" w:rsidR="00937C4F" w:rsidRPr="00937C4F" w:rsidRDefault="00937C4F" w:rsidP="00245CA8">
            <w:pPr>
              <w:pStyle w:val="TableText"/>
              <w:ind w:left="121"/>
              <w:rPr>
                <w:sz w:val="24"/>
                <w:szCs w:val="24"/>
              </w:rPr>
            </w:pPr>
            <w:r w:rsidRPr="00937C4F">
              <w:rPr>
                <w:sz w:val="24"/>
                <w:szCs w:val="24"/>
              </w:rPr>
              <w:t>Co-funded</w:t>
            </w:r>
          </w:p>
        </w:tc>
      </w:tr>
      <w:tr w:rsidR="00FC51E7" w:rsidRPr="00E85709" w14:paraId="059A385D" w14:textId="77777777" w:rsidTr="00FC51E7">
        <w:trPr>
          <w:cantSplit/>
          <w:trHeight w:val="1140"/>
        </w:trPr>
        <w:tc>
          <w:tcPr>
            <w:tcW w:w="3686" w:type="dxa"/>
            <w:vMerge w:val="restart"/>
            <w:shd w:val="clear" w:color="auto" w:fill="FFFFFF"/>
            <w:tcMar>
              <w:top w:w="150" w:type="dxa"/>
              <w:left w:w="0" w:type="dxa"/>
              <w:bottom w:w="150" w:type="dxa"/>
              <w:right w:w="300" w:type="dxa"/>
            </w:tcMar>
          </w:tcPr>
          <w:p w14:paraId="4B990C72" w14:textId="4CF467AA" w:rsidR="00FC51E7" w:rsidRPr="00937C4F" w:rsidRDefault="00FC51E7" w:rsidP="00245CA8">
            <w:pPr>
              <w:pStyle w:val="TableText"/>
              <w:ind w:left="146"/>
              <w:rPr>
                <w:rFonts w:cs="Arial"/>
                <w:sz w:val="24"/>
                <w:szCs w:val="24"/>
              </w:rPr>
            </w:pPr>
            <w:r>
              <w:rPr>
                <w:rFonts w:cs="Arial"/>
                <w:sz w:val="24"/>
                <w:szCs w:val="24"/>
              </w:rPr>
              <w:t>Learning aims up to and including Level 2, where the learner has not achieved a first full Level 2, or above local flexibility and legal entitlements</w:t>
            </w:r>
          </w:p>
        </w:tc>
        <w:tc>
          <w:tcPr>
            <w:tcW w:w="3969" w:type="dxa"/>
            <w:shd w:val="clear" w:color="auto" w:fill="FFFFFF"/>
            <w:tcMar>
              <w:top w:w="150" w:type="dxa"/>
              <w:left w:w="0" w:type="dxa"/>
              <w:bottom w:w="150" w:type="dxa"/>
              <w:right w:w="0" w:type="dxa"/>
            </w:tcMar>
          </w:tcPr>
          <w:p w14:paraId="497F46D5" w14:textId="5FA01AFB" w:rsidR="00FC51E7" w:rsidRPr="00937C4F" w:rsidRDefault="00FC51E7" w:rsidP="00245CA8">
            <w:pPr>
              <w:pStyle w:val="TableText"/>
              <w:ind w:left="142"/>
              <w:rPr>
                <w:sz w:val="24"/>
                <w:szCs w:val="24"/>
              </w:rPr>
            </w:pPr>
            <w:r>
              <w:rPr>
                <w:sz w:val="24"/>
                <w:szCs w:val="24"/>
              </w:rPr>
              <w:t>For those eligible through unemployed or who are in receipt of a low wage</w:t>
            </w:r>
          </w:p>
        </w:tc>
        <w:tc>
          <w:tcPr>
            <w:tcW w:w="1701" w:type="dxa"/>
            <w:shd w:val="clear" w:color="auto" w:fill="FFFFFF"/>
          </w:tcPr>
          <w:p w14:paraId="32CD35EB" w14:textId="1A26D2A4" w:rsidR="00FC51E7" w:rsidRPr="00937C4F" w:rsidRDefault="00FC51E7" w:rsidP="00245CA8">
            <w:pPr>
              <w:pStyle w:val="TableText"/>
              <w:ind w:left="121"/>
              <w:rPr>
                <w:sz w:val="24"/>
                <w:szCs w:val="24"/>
              </w:rPr>
            </w:pPr>
            <w:r>
              <w:rPr>
                <w:sz w:val="24"/>
                <w:szCs w:val="24"/>
              </w:rPr>
              <w:t>Fully funded</w:t>
            </w:r>
          </w:p>
        </w:tc>
      </w:tr>
      <w:tr w:rsidR="00FC51E7" w:rsidRPr="00E85709" w14:paraId="58567E9D" w14:textId="77777777" w:rsidTr="00937C4F">
        <w:trPr>
          <w:cantSplit/>
          <w:trHeight w:val="645"/>
        </w:trPr>
        <w:tc>
          <w:tcPr>
            <w:tcW w:w="3686" w:type="dxa"/>
            <w:vMerge/>
            <w:shd w:val="clear" w:color="auto" w:fill="FFFFFF"/>
            <w:tcMar>
              <w:top w:w="150" w:type="dxa"/>
              <w:left w:w="0" w:type="dxa"/>
              <w:bottom w:w="150" w:type="dxa"/>
              <w:right w:w="300" w:type="dxa"/>
            </w:tcMar>
          </w:tcPr>
          <w:p w14:paraId="1F448C13" w14:textId="77777777" w:rsidR="00FC51E7" w:rsidRDefault="00FC51E7" w:rsidP="00245CA8">
            <w:pPr>
              <w:pStyle w:val="TableText"/>
              <w:ind w:left="146"/>
              <w:rPr>
                <w:rFonts w:cs="Arial"/>
                <w:sz w:val="24"/>
                <w:szCs w:val="24"/>
              </w:rPr>
            </w:pPr>
          </w:p>
        </w:tc>
        <w:tc>
          <w:tcPr>
            <w:tcW w:w="3969" w:type="dxa"/>
            <w:shd w:val="clear" w:color="auto" w:fill="FFFFFF"/>
            <w:tcMar>
              <w:top w:w="150" w:type="dxa"/>
              <w:left w:w="0" w:type="dxa"/>
              <w:bottom w:w="150" w:type="dxa"/>
              <w:right w:w="0" w:type="dxa"/>
            </w:tcMar>
          </w:tcPr>
          <w:p w14:paraId="23BE695B" w14:textId="6637D6DE" w:rsidR="00FC51E7" w:rsidRDefault="001A4186" w:rsidP="00245CA8">
            <w:pPr>
              <w:pStyle w:val="TableText"/>
              <w:ind w:left="142"/>
              <w:rPr>
                <w:sz w:val="24"/>
                <w:szCs w:val="24"/>
              </w:rPr>
            </w:pPr>
            <w:r>
              <w:rPr>
                <w:sz w:val="24"/>
                <w:szCs w:val="24"/>
              </w:rPr>
              <w:t>For those who do not meet the definition of unemployed or do not meet the eligibility criteria for learners in receipt of a low wage</w:t>
            </w:r>
          </w:p>
        </w:tc>
        <w:tc>
          <w:tcPr>
            <w:tcW w:w="1701" w:type="dxa"/>
            <w:shd w:val="clear" w:color="auto" w:fill="FFFFFF"/>
          </w:tcPr>
          <w:p w14:paraId="5ADC813A" w14:textId="544F6F01" w:rsidR="00FC51E7" w:rsidRDefault="001A4186" w:rsidP="00245CA8">
            <w:pPr>
              <w:pStyle w:val="TableText"/>
              <w:ind w:left="121"/>
              <w:rPr>
                <w:sz w:val="24"/>
                <w:szCs w:val="24"/>
              </w:rPr>
            </w:pPr>
            <w:r>
              <w:rPr>
                <w:sz w:val="24"/>
                <w:szCs w:val="24"/>
              </w:rPr>
              <w:t>Co-funded</w:t>
            </w:r>
          </w:p>
        </w:tc>
      </w:tr>
    </w:tbl>
    <w:p w14:paraId="3BE1ED51" w14:textId="77777777" w:rsidR="00250880" w:rsidRDefault="00250880" w:rsidP="00245CA8">
      <w:pPr>
        <w:pStyle w:val="Default"/>
        <w:rPr>
          <w:rFonts w:ascii="Century Gothic" w:hAnsi="Century Gothic" w:cs="Times New Roman"/>
          <w:b/>
          <w:color w:val="auto"/>
          <w:lang w:eastAsia="en-US"/>
        </w:rPr>
      </w:pPr>
    </w:p>
    <w:p w14:paraId="103F1BC8" w14:textId="77777777" w:rsidR="00245CA8" w:rsidRDefault="00245CA8" w:rsidP="00245CA8">
      <w:pPr>
        <w:pStyle w:val="Default"/>
        <w:rPr>
          <w:rFonts w:ascii="Century Gothic" w:hAnsi="Century Gothic" w:cs="Times New Roman"/>
          <w:b/>
          <w:color w:val="auto"/>
          <w:lang w:eastAsia="en-US"/>
        </w:rPr>
      </w:pPr>
    </w:p>
    <w:p w14:paraId="4DA6ACBD" w14:textId="77777777" w:rsidR="00245CA8" w:rsidRDefault="00245CA8" w:rsidP="00245CA8">
      <w:pPr>
        <w:pStyle w:val="Default"/>
        <w:rPr>
          <w:rFonts w:ascii="Century Gothic" w:hAnsi="Century Gothic" w:cs="Times New Roman"/>
          <w:b/>
          <w:color w:val="auto"/>
          <w:lang w:eastAsia="en-US"/>
        </w:rPr>
      </w:pPr>
    </w:p>
    <w:p w14:paraId="3EB59545" w14:textId="77777777" w:rsidR="00192319" w:rsidRDefault="00C330D1" w:rsidP="00245CA8">
      <w:pPr>
        <w:pStyle w:val="Default"/>
        <w:numPr>
          <w:ilvl w:val="0"/>
          <w:numId w:val="35"/>
        </w:numPr>
        <w:spacing w:after="120"/>
        <w:rPr>
          <w:rFonts w:ascii="Century Gothic" w:hAnsi="Century Gothic" w:cs="Times New Roman"/>
          <w:b/>
          <w:color w:val="auto"/>
          <w:lang w:eastAsia="en-US"/>
        </w:rPr>
      </w:pPr>
      <w:r>
        <w:rPr>
          <w:rFonts w:ascii="Century Gothic" w:hAnsi="Century Gothic" w:cs="Times New Roman"/>
          <w:b/>
          <w:color w:val="auto"/>
          <w:lang w:eastAsia="en-US"/>
        </w:rPr>
        <w:t>F</w:t>
      </w:r>
      <w:r w:rsidR="00085FC3">
        <w:rPr>
          <w:rFonts w:ascii="Century Gothic" w:hAnsi="Century Gothic" w:cs="Times New Roman"/>
          <w:b/>
          <w:color w:val="auto"/>
          <w:lang w:eastAsia="en-US"/>
        </w:rPr>
        <w:t>unded courses that are free at point of entry</w:t>
      </w:r>
    </w:p>
    <w:p w14:paraId="07826456" w14:textId="77777777" w:rsidR="00192319" w:rsidRPr="00192319" w:rsidRDefault="00C330D1" w:rsidP="00245CA8">
      <w:pPr>
        <w:pStyle w:val="Default"/>
        <w:numPr>
          <w:ilvl w:val="1"/>
          <w:numId w:val="35"/>
        </w:numPr>
        <w:spacing w:after="120"/>
        <w:ind w:left="1134" w:hanging="425"/>
        <w:rPr>
          <w:rFonts w:ascii="Century Gothic" w:hAnsi="Century Gothic" w:cs="Times New Roman"/>
          <w:b/>
          <w:color w:val="auto"/>
          <w:lang w:eastAsia="en-US"/>
        </w:rPr>
      </w:pPr>
      <w:r w:rsidRPr="00192319">
        <w:rPr>
          <w:rFonts w:ascii="Century Gothic" w:hAnsi="Century Gothic"/>
        </w:rPr>
        <w:t>Functional Skills English and Maths</w:t>
      </w:r>
      <w:r w:rsidR="00DF014B" w:rsidRPr="00192319">
        <w:rPr>
          <w:rFonts w:ascii="Century Gothic" w:hAnsi="Century Gothic"/>
        </w:rPr>
        <w:t xml:space="preserve"> / Essential Digital Skills </w:t>
      </w:r>
      <w:r w:rsidRPr="00192319">
        <w:rPr>
          <w:rFonts w:ascii="Century Gothic" w:hAnsi="Century Gothic"/>
        </w:rPr>
        <w:t>– are free to all</w:t>
      </w:r>
      <w:r w:rsidR="00CC4F90" w:rsidRPr="00192319">
        <w:rPr>
          <w:rFonts w:ascii="Century Gothic" w:hAnsi="Century Gothic"/>
        </w:rPr>
        <w:t xml:space="preserve"> who qualify for legal entitlement</w:t>
      </w:r>
      <w:r w:rsidRPr="00192319">
        <w:rPr>
          <w:rFonts w:ascii="Century Gothic" w:hAnsi="Century Gothic"/>
        </w:rPr>
        <w:t>.</w:t>
      </w:r>
    </w:p>
    <w:p w14:paraId="4A695DD2" w14:textId="77777777" w:rsidR="00192319" w:rsidRPr="00192319" w:rsidRDefault="00C330D1" w:rsidP="00245CA8">
      <w:pPr>
        <w:pStyle w:val="Default"/>
        <w:numPr>
          <w:ilvl w:val="1"/>
          <w:numId w:val="35"/>
        </w:numPr>
        <w:spacing w:after="120"/>
        <w:ind w:left="1134" w:hanging="425"/>
        <w:rPr>
          <w:rFonts w:ascii="Century Gothic" w:hAnsi="Century Gothic" w:cs="Times New Roman"/>
          <w:b/>
          <w:color w:val="auto"/>
          <w:lang w:eastAsia="en-US"/>
        </w:rPr>
      </w:pPr>
      <w:r w:rsidRPr="00192319">
        <w:rPr>
          <w:rFonts w:ascii="Century Gothic" w:hAnsi="Century Gothic"/>
        </w:rPr>
        <w:t>Family Literacy (English), Languages and Numeracy (Maths) / Family Learning – are free to all.</w:t>
      </w:r>
    </w:p>
    <w:p w14:paraId="3F4C5C76" w14:textId="7774C2C7" w:rsidR="00C330D1" w:rsidRPr="00245CA8" w:rsidRDefault="00C330D1" w:rsidP="00245CA8">
      <w:pPr>
        <w:pStyle w:val="Default"/>
        <w:numPr>
          <w:ilvl w:val="1"/>
          <w:numId w:val="35"/>
        </w:numPr>
        <w:spacing w:after="120"/>
        <w:ind w:left="1134" w:hanging="425"/>
        <w:rPr>
          <w:rFonts w:ascii="Century Gothic" w:hAnsi="Century Gothic" w:cs="Times New Roman"/>
          <w:b/>
          <w:color w:val="auto"/>
          <w:lang w:eastAsia="en-US"/>
        </w:rPr>
      </w:pPr>
      <w:r w:rsidRPr="001A4186">
        <w:rPr>
          <w:rFonts w:ascii="Century Gothic" w:hAnsi="Century Gothic"/>
        </w:rPr>
        <w:t xml:space="preserve">English for Speakers of Other Languages (ESOL) below Level 2 – </w:t>
      </w:r>
      <w:r w:rsidR="00CC4F90" w:rsidRPr="001A4186">
        <w:rPr>
          <w:rFonts w:ascii="Century Gothic" w:hAnsi="Century Gothic"/>
        </w:rPr>
        <w:t>are subject to the legal entitlement table above.</w:t>
      </w:r>
    </w:p>
    <w:p w14:paraId="36971B2C" w14:textId="5129D401" w:rsidR="00C330D1" w:rsidRPr="00192319" w:rsidRDefault="00FE7A66" w:rsidP="00245CA8">
      <w:pPr>
        <w:pStyle w:val="Default"/>
        <w:numPr>
          <w:ilvl w:val="0"/>
          <w:numId w:val="35"/>
        </w:numPr>
        <w:rPr>
          <w:rFonts w:ascii="Century Gothic" w:hAnsi="Century Gothic" w:cs="Times New Roman"/>
          <w:b/>
          <w:color w:val="auto"/>
          <w:lang w:eastAsia="en-US"/>
        </w:rPr>
      </w:pPr>
      <w:r>
        <w:rPr>
          <w:rFonts w:ascii="Century Gothic" w:hAnsi="Century Gothic" w:cs="Times New Roman"/>
          <w:b/>
          <w:color w:val="auto"/>
          <w:lang w:eastAsia="en-US"/>
        </w:rPr>
        <w:lastRenderedPageBreak/>
        <w:t xml:space="preserve">Community Learning </w:t>
      </w:r>
      <w:r w:rsidR="00C330D1" w:rsidRPr="00C330D1">
        <w:rPr>
          <w:rFonts w:ascii="Century Gothic" w:hAnsi="Century Gothic" w:cs="Times New Roman"/>
          <w:b/>
          <w:color w:val="auto"/>
          <w:lang w:eastAsia="en-US"/>
        </w:rPr>
        <w:t xml:space="preserve">Course Fees (FACES) </w:t>
      </w:r>
      <w:r w:rsidR="00192319">
        <w:rPr>
          <w:rFonts w:ascii="Century Gothic" w:hAnsi="Century Gothic" w:cs="Times New Roman"/>
          <w:b/>
          <w:color w:val="auto"/>
          <w:lang w:eastAsia="en-US"/>
        </w:rPr>
        <w:br/>
      </w:r>
      <w:r w:rsidR="00192319">
        <w:rPr>
          <w:rFonts w:ascii="Century Gothic" w:hAnsi="Century Gothic" w:cs="Times New Roman"/>
          <w:b/>
          <w:color w:val="auto"/>
          <w:lang w:eastAsia="en-US"/>
        </w:rPr>
        <w:br/>
      </w:r>
      <w:r w:rsidR="008769BB" w:rsidRPr="00192319">
        <w:rPr>
          <w:rFonts w:ascii="Century Gothic" w:hAnsi="Century Gothic"/>
        </w:rPr>
        <w:t xml:space="preserve">Fees for non-accredited community courses delivered by FACES will use </w:t>
      </w:r>
      <w:r w:rsidR="00D6198A" w:rsidRPr="00192319">
        <w:rPr>
          <w:rFonts w:ascii="Century Gothic" w:hAnsi="Century Gothic"/>
        </w:rPr>
        <w:t>SYMCA guidance</w:t>
      </w:r>
      <w:r w:rsidR="008769BB" w:rsidRPr="00192319">
        <w:rPr>
          <w:rFonts w:ascii="Century Gothic" w:hAnsi="Century Gothic"/>
        </w:rPr>
        <w:t xml:space="preserve"> as a means of determining which learners are fully funded, determined by AEB funding rules. </w:t>
      </w:r>
      <w:r w:rsidR="00E11F04">
        <w:rPr>
          <w:rFonts w:ascii="Century Gothic" w:hAnsi="Century Gothic"/>
        </w:rPr>
        <w:t xml:space="preserve">  </w:t>
      </w:r>
      <w:r w:rsidR="008769BB" w:rsidRPr="00192319">
        <w:rPr>
          <w:rFonts w:ascii="Century Gothic" w:hAnsi="Century Gothic"/>
        </w:rPr>
        <w:t xml:space="preserve">Where learners may not be fully funded LLSE has the </w:t>
      </w:r>
      <w:r w:rsidR="00E11F04">
        <w:rPr>
          <w:rFonts w:ascii="Century Gothic" w:hAnsi="Century Gothic"/>
        </w:rPr>
        <w:t xml:space="preserve">discretion </w:t>
      </w:r>
      <w:r w:rsidR="008769BB" w:rsidRPr="00192319">
        <w:rPr>
          <w:rFonts w:ascii="Century Gothic" w:hAnsi="Century Gothic"/>
        </w:rPr>
        <w:t>to offer to waive the fee.  Full details of possible reasons for fee waiver are listed on enrolment forms. If no fee waiver is suitable then learners will be expected to pay the required fees.</w:t>
      </w:r>
      <w:r w:rsidR="00192319">
        <w:rPr>
          <w:rFonts w:ascii="Century Gothic" w:hAnsi="Century Gothic"/>
        </w:rPr>
        <w:br/>
      </w:r>
      <w:r w:rsidR="00192319">
        <w:rPr>
          <w:rFonts w:ascii="Century Gothic" w:hAnsi="Century Gothic" w:cs="Times New Roman"/>
          <w:b/>
          <w:color w:val="auto"/>
          <w:lang w:eastAsia="en-US"/>
        </w:rPr>
        <w:br/>
      </w:r>
      <w:r w:rsidR="00C330D1" w:rsidRPr="00192319">
        <w:rPr>
          <w:rFonts w:ascii="Century Gothic" w:hAnsi="Century Gothic" w:cs="Times New Roman"/>
          <w:color w:val="auto"/>
          <w:lang w:eastAsia="en-US"/>
        </w:rPr>
        <w:t xml:space="preserve">Where a fee waiver </w:t>
      </w:r>
      <w:r w:rsidR="008769BB" w:rsidRPr="00192319">
        <w:rPr>
          <w:rFonts w:ascii="Century Gothic" w:hAnsi="Century Gothic" w:cs="Times New Roman"/>
          <w:color w:val="auto"/>
          <w:lang w:eastAsia="en-US"/>
        </w:rPr>
        <w:t xml:space="preserve">(see </w:t>
      </w:r>
      <w:r w:rsidR="008769BB" w:rsidRPr="00CB09E1">
        <w:rPr>
          <w:rFonts w:ascii="Century Gothic" w:hAnsi="Century Gothic" w:cs="Times New Roman"/>
          <w:color w:val="auto"/>
          <w:lang w:eastAsia="en-US"/>
        </w:rPr>
        <w:t xml:space="preserve">paragraph </w:t>
      </w:r>
      <w:r w:rsidR="00E11F04" w:rsidRPr="00CB09E1">
        <w:rPr>
          <w:rFonts w:ascii="Century Gothic" w:hAnsi="Century Gothic" w:cs="Times New Roman"/>
          <w:color w:val="auto"/>
          <w:lang w:eastAsia="en-US"/>
        </w:rPr>
        <w:t>4</w:t>
      </w:r>
      <w:r w:rsidR="008769BB" w:rsidRPr="00192319">
        <w:rPr>
          <w:rFonts w:ascii="Century Gothic" w:hAnsi="Century Gothic" w:cs="Times New Roman"/>
          <w:color w:val="auto"/>
          <w:lang w:eastAsia="en-US"/>
        </w:rPr>
        <w:t xml:space="preserve">) </w:t>
      </w:r>
      <w:r w:rsidR="00C330D1" w:rsidRPr="00192319">
        <w:rPr>
          <w:rFonts w:ascii="Century Gothic" w:hAnsi="Century Gothic" w:cs="Times New Roman"/>
          <w:color w:val="auto"/>
          <w:lang w:eastAsia="en-US"/>
        </w:rPr>
        <w:t>or legal entitlement</w:t>
      </w:r>
      <w:r w:rsidR="008769BB" w:rsidRPr="00192319">
        <w:rPr>
          <w:rFonts w:ascii="Century Gothic" w:hAnsi="Century Gothic" w:cs="Times New Roman"/>
          <w:color w:val="auto"/>
          <w:lang w:eastAsia="en-US"/>
        </w:rPr>
        <w:t xml:space="preserve"> (see paragraph 6)</w:t>
      </w:r>
      <w:r w:rsidR="00C330D1" w:rsidRPr="00192319">
        <w:rPr>
          <w:rFonts w:ascii="Century Gothic" w:hAnsi="Century Gothic" w:cs="Times New Roman"/>
          <w:color w:val="auto"/>
          <w:lang w:eastAsia="en-US"/>
        </w:rPr>
        <w:t xml:space="preserve"> is not in place, the course fees will be as follows: </w:t>
      </w:r>
      <w:r w:rsidR="00192319">
        <w:rPr>
          <w:rFonts w:ascii="Century Gothic" w:hAnsi="Century Gothic" w:cs="Times New Roman"/>
          <w:b/>
          <w:color w:val="auto"/>
          <w:lang w:eastAsia="en-US"/>
        </w:rPr>
        <w:br/>
      </w:r>
    </w:p>
    <w:p w14:paraId="7D7C1944" w14:textId="12E58386" w:rsidR="008769BB" w:rsidRPr="00A60AE5" w:rsidRDefault="00FE7A66" w:rsidP="00245CA8">
      <w:pPr>
        <w:pStyle w:val="Default"/>
        <w:numPr>
          <w:ilvl w:val="0"/>
          <w:numId w:val="38"/>
        </w:numPr>
        <w:spacing w:after="36"/>
        <w:ind w:firstLine="131"/>
        <w:rPr>
          <w:rFonts w:ascii="Century Gothic" w:hAnsi="Century Gothic" w:cs="Times New Roman"/>
          <w:color w:val="auto"/>
          <w:lang w:eastAsia="en-US"/>
        </w:rPr>
      </w:pPr>
      <w:r w:rsidRPr="00855A6D">
        <w:rPr>
          <w:rFonts w:ascii="Century Gothic" w:hAnsi="Century Gothic" w:cs="Times New Roman"/>
          <w:color w:val="auto"/>
          <w:lang w:eastAsia="en-US"/>
        </w:rPr>
        <w:t>£2</w:t>
      </w:r>
      <w:r w:rsidR="00C330D1" w:rsidRPr="00855A6D">
        <w:rPr>
          <w:rFonts w:ascii="Century Gothic" w:hAnsi="Century Gothic" w:cs="Times New Roman"/>
          <w:color w:val="auto"/>
          <w:lang w:eastAsia="en-US"/>
        </w:rPr>
        <w:t xml:space="preserve">.50 per hour </w:t>
      </w:r>
      <w:r w:rsidR="00192319">
        <w:rPr>
          <w:rFonts w:ascii="Century Gothic" w:hAnsi="Century Gothic" w:cs="Times New Roman"/>
          <w:color w:val="auto"/>
          <w:lang w:eastAsia="en-US"/>
        </w:rPr>
        <w:br/>
      </w:r>
      <w:r w:rsidR="00A60AE5">
        <w:rPr>
          <w:rFonts w:ascii="Century Gothic" w:hAnsi="Century Gothic"/>
          <w:b/>
          <w:bCs/>
        </w:rPr>
        <w:br/>
      </w:r>
      <w:r w:rsidR="00D74093" w:rsidRPr="00192319">
        <w:rPr>
          <w:rFonts w:ascii="Century Gothic" w:hAnsi="Century Gothic"/>
          <w:b/>
          <w:bCs/>
        </w:rPr>
        <w:t>8.1</w:t>
      </w:r>
      <w:r w:rsidR="008769BB" w:rsidRPr="00192319">
        <w:rPr>
          <w:rFonts w:ascii="Century Gothic" w:hAnsi="Century Gothic"/>
          <w:b/>
          <w:bCs/>
        </w:rPr>
        <w:t>. Family Learning</w:t>
      </w:r>
      <w:r w:rsidR="00A60AE5">
        <w:rPr>
          <w:rFonts w:ascii="Century Gothic" w:hAnsi="Century Gothic"/>
          <w:b/>
          <w:bCs/>
        </w:rPr>
        <w:br/>
      </w:r>
      <w:r w:rsidR="00A60AE5">
        <w:rPr>
          <w:rFonts w:ascii="Century Gothic" w:hAnsi="Century Gothic"/>
          <w:b/>
          <w:bCs/>
        </w:rPr>
        <w:br/>
      </w:r>
      <w:r w:rsidR="008769BB" w:rsidRPr="00A60AE5">
        <w:rPr>
          <w:rFonts w:ascii="Century Gothic" w:hAnsi="Century Gothic"/>
        </w:rPr>
        <w:t xml:space="preserve">Non-accredited Family Learning courses enable learners to develop new skills and raise aspirations for an entire family. These courses include English and Maths/STEM, Digital, Employability, and Health and Wellbeing. Family Learning classes are free </w:t>
      </w:r>
      <w:r w:rsidR="00D74093" w:rsidRPr="00A60AE5">
        <w:rPr>
          <w:rFonts w:ascii="Century Gothic" w:hAnsi="Century Gothic"/>
        </w:rPr>
        <w:t>at the point of entry with pathways for progression to other learning.</w:t>
      </w:r>
    </w:p>
    <w:p w14:paraId="3ACDE614" w14:textId="77777777" w:rsidR="00A60AE5" w:rsidRPr="00A60AE5" w:rsidRDefault="00A60AE5" w:rsidP="00245CA8">
      <w:pPr>
        <w:pStyle w:val="Default"/>
        <w:spacing w:after="36"/>
        <w:rPr>
          <w:rFonts w:ascii="Century Gothic" w:hAnsi="Century Gothic" w:cs="Times New Roman"/>
          <w:color w:val="auto"/>
          <w:lang w:eastAsia="en-US"/>
        </w:rPr>
      </w:pPr>
    </w:p>
    <w:p w14:paraId="3796F21F" w14:textId="100239F2" w:rsidR="003D4F42" w:rsidRPr="00A60AE5" w:rsidRDefault="003D4F42" w:rsidP="00245CA8">
      <w:pPr>
        <w:pStyle w:val="ListParagraph"/>
        <w:numPr>
          <w:ilvl w:val="0"/>
          <w:numId w:val="35"/>
        </w:numPr>
        <w:jc w:val="left"/>
        <w:rPr>
          <w:rFonts w:ascii="Century Gothic" w:hAnsi="Century Gothic"/>
          <w:b/>
        </w:rPr>
      </w:pPr>
      <w:r w:rsidRPr="00A60AE5">
        <w:rPr>
          <w:rFonts w:ascii="Century Gothic" w:hAnsi="Century Gothic"/>
          <w:b/>
        </w:rPr>
        <w:t>Study Programme and Traineeship</w:t>
      </w:r>
      <w:r w:rsidR="00A60AE5">
        <w:rPr>
          <w:rFonts w:ascii="Century Gothic" w:hAnsi="Century Gothic"/>
          <w:b/>
        </w:rPr>
        <w:br/>
      </w:r>
      <w:r w:rsidR="00A60AE5">
        <w:rPr>
          <w:rFonts w:ascii="Century Gothic" w:hAnsi="Century Gothic"/>
          <w:b/>
        </w:rPr>
        <w:br/>
      </w:r>
      <w:r w:rsidR="00B120B9" w:rsidRPr="00A60AE5">
        <w:rPr>
          <w:rFonts w:ascii="Century Gothic" w:hAnsi="Century Gothic"/>
        </w:rPr>
        <w:t>Learners eligible for a Study Programme or Traineeship (</w:t>
      </w:r>
      <w:proofErr w:type="gramStart"/>
      <w:r w:rsidR="00B120B9" w:rsidRPr="00A60AE5">
        <w:rPr>
          <w:rFonts w:ascii="Century Gothic" w:hAnsi="Century Gothic"/>
        </w:rPr>
        <w:t>16-24 year olds</w:t>
      </w:r>
      <w:proofErr w:type="gramEnd"/>
      <w:r w:rsidR="00B120B9" w:rsidRPr="00A60AE5">
        <w:rPr>
          <w:rFonts w:ascii="Century Gothic" w:hAnsi="Century Gothic"/>
        </w:rPr>
        <w:t>) will be fully funded and not charged a fee.</w:t>
      </w:r>
    </w:p>
    <w:p w14:paraId="34D35865" w14:textId="77777777" w:rsidR="007D1FA9" w:rsidRDefault="007D1FA9" w:rsidP="00245CA8">
      <w:pPr>
        <w:jc w:val="left"/>
        <w:rPr>
          <w:rFonts w:ascii="Century Gothic" w:hAnsi="Century Gothic"/>
          <w:b/>
        </w:rPr>
      </w:pPr>
    </w:p>
    <w:p w14:paraId="417A06AC" w14:textId="693221DA" w:rsidR="00B120B9" w:rsidRPr="00A60AE5" w:rsidRDefault="00B120B9" w:rsidP="00245CA8">
      <w:pPr>
        <w:pStyle w:val="ListParagraph"/>
        <w:numPr>
          <w:ilvl w:val="0"/>
          <w:numId w:val="35"/>
        </w:numPr>
        <w:jc w:val="left"/>
        <w:rPr>
          <w:rFonts w:ascii="Century Gothic" w:hAnsi="Century Gothic"/>
          <w:b/>
        </w:rPr>
      </w:pPr>
      <w:r w:rsidRPr="00A60AE5">
        <w:rPr>
          <w:rFonts w:ascii="Century Gothic" w:hAnsi="Century Gothic"/>
          <w:b/>
        </w:rPr>
        <w:t>Apprenticeships</w:t>
      </w:r>
      <w:r w:rsidR="00A60AE5">
        <w:rPr>
          <w:rFonts w:ascii="Century Gothic" w:hAnsi="Century Gothic"/>
          <w:b/>
        </w:rPr>
        <w:br/>
      </w:r>
      <w:r w:rsidR="00A60AE5">
        <w:rPr>
          <w:rFonts w:ascii="Century Gothic" w:hAnsi="Century Gothic"/>
          <w:b/>
        </w:rPr>
        <w:br/>
      </w:r>
      <w:r w:rsidRPr="00A60AE5">
        <w:rPr>
          <w:rFonts w:ascii="Century Gothic" w:hAnsi="Century Gothic"/>
        </w:rPr>
        <w:t xml:space="preserve">No fee is charged to learners undertaking an Apprenticeship. Employer contributions will be charged in line with ESFA guidance and the levy/non levy government policy </w:t>
      </w:r>
      <w:r w:rsidR="009D1357" w:rsidRPr="00A60AE5">
        <w:rPr>
          <w:rFonts w:ascii="Century Gothic" w:hAnsi="Century Gothic"/>
        </w:rPr>
        <w:t>considering</w:t>
      </w:r>
      <w:r w:rsidRPr="00A60AE5">
        <w:rPr>
          <w:rFonts w:ascii="Century Gothic" w:hAnsi="Century Gothic"/>
        </w:rPr>
        <w:t xml:space="preserve"> market rates.</w:t>
      </w:r>
    </w:p>
    <w:p w14:paraId="015EBBE5" w14:textId="77777777" w:rsidR="007D1FA9" w:rsidRPr="00B120B9" w:rsidRDefault="007D1FA9" w:rsidP="00245CA8">
      <w:pPr>
        <w:jc w:val="left"/>
        <w:rPr>
          <w:rFonts w:ascii="Century Gothic" w:hAnsi="Century Gothic"/>
        </w:rPr>
      </w:pPr>
    </w:p>
    <w:p w14:paraId="354C14D8" w14:textId="1939E1A2" w:rsidR="00C36B06" w:rsidRPr="00A60AE5" w:rsidRDefault="00B120B9" w:rsidP="00245CA8">
      <w:pPr>
        <w:pStyle w:val="ListParagraph"/>
        <w:numPr>
          <w:ilvl w:val="0"/>
          <w:numId w:val="35"/>
        </w:numPr>
        <w:jc w:val="left"/>
        <w:rPr>
          <w:rFonts w:ascii="Century Gothic" w:hAnsi="Century Gothic"/>
          <w:b/>
        </w:rPr>
      </w:pPr>
      <w:r w:rsidRPr="00A60AE5">
        <w:rPr>
          <w:rFonts w:ascii="Century Gothic" w:hAnsi="Century Gothic"/>
          <w:b/>
        </w:rPr>
        <w:t xml:space="preserve">Adult Education Budget </w:t>
      </w:r>
      <w:r w:rsidR="00937F51" w:rsidRPr="00A60AE5">
        <w:rPr>
          <w:rFonts w:ascii="Century Gothic" w:hAnsi="Century Gothic"/>
          <w:b/>
        </w:rPr>
        <w:t>(AEB)</w:t>
      </w:r>
      <w:r w:rsidRPr="00A60AE5">
        <w:rPr>
          <w:rFonts w:ascii="Century Gothic" w:hAnsi="Century Gothic"/>
          <w:b/>
        </w:rPr>
        <w:t xml:space="preserve"> </w:t>
      </w:r>
      <w:r w:rsidR="00A60AE5" w:rsidRPr="003C1765">
        <w:rPr>
          <w:rFonts w:ascii="Century Gothic" w:hAnsi="Century Gothic"/>
          <w:b/>
        </w:rPr>
        <w:br/>
      </w:r>
      <w:r w:rsidR="00A60AE5" w:rsidRPr="003C1765">
        <w:rPr>
          <w:rFonts w:ascii="Century Gothic" w:hAnsi="Century Gothic"/>
          <w:b/>
        </w:rPr>
        <w:br/>
      </w:r>
      <w:r w:rsidR="00D80C3C" w:rsidRPr="003C1765">
        <w:rPr>
          <w:rFonts w:ascii="Century Gothic" w:hAnsi="Century Gothic"/>
        </w:rPr>
        <w:t>Adult l</w:t>
      </w:r>
      <w:r w:rsidR="003D4F42" w:rsidRPr="003C1765">
        <w:rPr>
          <w:rFonts w:ascii="Century Gothic" w:hAnsi="Century Gothic"/>
        </w:rPr>
        <w:t>earners are subject to ESFA</w:t>
      </w:r>
      <w:r w:rsidR="00D032D5" w:rsidRPr="003C1765">
        <w:rPr>
          <w:rFonts w:ascii="Century Gothic" w:hAnsi="Century Gothic"/>
        </w:rPr>
        <w:t xml:space="preserve"> and </w:t>
      </w:r>
      <w:r w:rsidR="00855A6D" w:rsidRPr="003C1765">
        <w:rPr>
          <w:rFonts w:ascii="Century Gothic" w:hAnsi="Century Gothic"/>
        </w:rPr>
        <w:t xml:space="preserve">SYMCA </w:t>
      </w:r>
      <w:r w:rsidR="00C36B06" w:rsidRPr="003C1765">
        <w:rPr>
          <w:rFonts w:ascii="Century Gothic" w:hAnsi="Century Gothic"/>
        </w:rPr>
        <w:t>eligibility criteria at enrolment which determines LLS funding. Prior to enrolment</w:t>
      </w:r>
      <w:r w:rsidR="00CC4F90" w:rsidRPr="003C1765">
        <w:rPr>
          <w:rFonts w:ascii="Century Gothic" w:hAnsi="Century Gothic"/>
        </w:rPr>
        <w:t>,</w:t>
      </w:r>
      <w:r w:rsidR="00C36B06" w:rsidRPr="003C1765">
        <w:rPr>
          <w:rFonts w:ascii="Century Gothic" w:hAnsi="Century Gothic"/>
        </w:rPr>
        <w:t xml:space="preserve"> learners will be informed at the IAG stage</w:t>
      </w:r>
      <w:r w:rsidR="00CC4F90" w:rsidRPr="003C1765">
        <w:rPr>
          <w:rFonts w:ascii="Century Gothic" w:hAnsi="Century Gothic"/>
        </w:rPr>
        <w:t>,</w:t>
      </w:r>
      <w:r w:rsidR="00C36B06" w:rsidRPr="003C1765">
        <w:rPr>
          <w:rFonts w:ascii="Century Gothic" w:hAnsi="Century Gothic"/>
        </w:rPr>
        <w:t xml:space="preserve"> </w:t>
      </w:r>
      <w:proofErr w:type="gramStart"/>
      <w:r w:rsidR="00C36B06" w:rsidRPr="003C1765">
        <w:rPr>
          <w:rFonts w:ascii="Century Gothic" w:hAnsi="Century Gothic"/>
        </w:rPr>
        <w:t>whether or not</w:t>
      </w:r>
      <w:proofErr w:type="gramEnd"/>
      <w:r w:rsidR="00C36B06" w:rsidRPr="003C1765">
        <w:rPr>
          <w:rFonts w:ascii="Century Gothic" w:hAnsi="Century Gothic"/>
        </w:rPr>
        <w:t xml:space="preserve"> they are subject to fee payment.</w:t>
      </w:r>
      <w:r w:rsidR="00A60AE5" w:rsidRPr="003C1765">
        <w:rPr>
          <w:rFonts w:ascii="Century Gothic" w:hAnsi="Century Gothic"/>
        </w:rPr>
        <w:br/>
      </w:r>
      <w:r w:rsidR="00A60AE5" w:rsidRPr="003C1765">
        <w:rPr>
          <w:rFonts w:ascii="Century Gothic" w:hAnsi="Century Gothic"/>
        </w:rPr>
        <w:br/>
      </w:r>
      <w:r w:rsidR="00937F51" w:rsidRPr="003C1765">
        <w:rPr>
          <w:rFonts w:ascii="Century Gothic" w:hAnsi="Century Gothic"/>
        </w:rPr>
        <w:t>Where courses are co-</w:t>
      </w:r>
      <w:r w:rsidR="00C36B06" w:rsidRPr="003C1765">
        <w:rPr>
          <w:rFonts w:ascii="Century Gothic" w:hAnsi="Century Gothic"/>
        </w:rPr>
        <w:t xml:space="preserve">funded under ESFA </w:t>
      </w:r>
      <w:r w:rsidR="00D032D5" w:rsidRPr="003C1765">
        <w:rPr>
          <w:rFonts w:ascii="Century Gothic" w:hAnsi="Century Gothic"/>
        </w:rPr>
        <w:t xml:space="preserve">and </w:t>
      </w:r>
      <w:r w:rsidR="00855A6D" w:rsidRPr="003C1765">
        <w:rPr>
          <w:rFonts w:ascii="Century Gothic" w:hAnsi="Century Gothic"/>
        </w:rPr>
        <w:t xml:space="preserve">SYMCA </w:t>
      </w:r>
      <w:r w:rsidR="00C36B06" w:rsidRPr="00A60AE5">
        <w:rPr>
          <w:rFonts w:ascii="Century Gothic" w:hAnsi="Century Gothic"/>
        </w:rPr>
        <w:t>guidance, LLS</w:t>
      </w:r>
      <w:r w:rsidR="00CC4F90" w:rsidRPr="00A60AE5">
        <w:rPr>
          <w:rFonts w:ascii="Century Gothic" w:hAnsi="Century Gothic"/>
        </w:rPr>
        <w:t>E</w:t>
      </w:r>
      <w:r w:rsidR="00937F51" w:rsidRPr="00A60AE5">
        <w:rPr>
          <w:rFonts w:ascii="Century Gothic" w:hAnsi="Century Gothic"/>
        </w:rPr>
        <w:t xml:space="preserve"> as a provider has the di</w:t>
      </w:r>
      <w:r w:rsidR="00855A6D" w:rsidRPr="00A60AE5">
        <w:rPr>
          <w:rFonts w:ascii="Century Gothic" w:hAnsi="Century Gothic"/>
        </w:rPr>
        <w:t>scretion</w:t>
      </w:r>
      <w:r w:rsidR="00937F51" w:rsidRPr="00A60AE5">
        <w:rPr>
          <w:rFonts w:ascii="Century Gothic" w:hAnsi="Century Gothic"/>
        </w:rPr>
        <w:t xml:space="preserve"> to offer to waive the fee.  Full details of possible reasons for fee waiver </w:t>
      </w:r>
      <w:r w:rsidR="008769BB" w:rsidRPr="00A60AE5">
        <w:rPr>
          <w:rFonts w:ascii="Century Gothic" w:hAnsi="Century Gothic"/>
        </w:rPr>
        <w:t xml:space="preserve">(see paragraph </w:t>
      </w:r>
      <w:r w:rsidR="00FA4648">
        <w:rPr>
          <w:rFonts w:ascii="Century Gothic" w:hAnsi="Century Gothic"/>
        </w:rPr>
        <w:t>4</w:t>
      </w:r>
      <w:r w:rsidR="008769BB" w:rsidRPr="00A60AE5">
        <w:rPr>
          <w:rFonts w:ascii="Century Gothic" w:hAnsi="Century Gothic"/>
        </w:rPr>
        <w:t xml:space="preserve">) </w:t>
      </w:r>
      <w:r w:rsidR="00937F51" w:rsidRPr="00A60AE5">
        <w:rPr>
          <w:rFonts w:ascii="Century Gothic" w:hAnsi="Century Gothic"/>
        </w:rPr>
        <w:t>are listed on enrolment forms</w:t>
      </w:r>
      <w:r w:rsidR="00CC4F90" w:rsidRPr="00A60AE5">
        <w:rPr>
          <w:rFonts w:ascii="Century Gothic" w:hAnsi="Century Gothic"/>
        </w:rPr>
        <w:t xml:space="preserve"> and </w:t>
      </w:r>
      <w:r w:rsidR="00CC4F90" w:rsidRPr="00A60AE5">
        <w:rPr>
          <w:rFonts w:ascii="Century Gothic" w:hAnsi="Century Gothic"/>
        </w:rPr>
        <w:lastRenderedPageBreak/>
        <w:t>detailed within this fees policy</w:t>
      </w:r>
      <w:r w:rsidR="008769BB" w:rsidRPr="00A60AE5">
        <w:rPr>
          <w:rFonts w:ascii="Century Gothic" w:hAnsi="Century Gothic"/>
        </w:rPr>
        <w:t xml:space="preserve"> (see paragraph 6)</w:t>
      </w:r>
      <w:r w:rsidR="00937F51" w:rsidRPr="00A60AE5">
        <w:rPr>
          <w:rFonts w:ascii="Century Gothic" w:hAnsi="Century Gothic"/>
        </w:rPr>
        <w:t xml:space="preserve">.  If no fee waiver is suitable then learners will be expected to pay the required fees. </w:t>
      </w:r>
    </w:p>
    <w:p w14:paraId="42C86CDF" w14:textId="77777777" w:rsidR="00FE7A66" w:rsidRDefault="00FE7A66" w:rsidP="00245CA8">
      <w:pPr>
        <w:jc w:val="left"/>
        <w:rPr>
          <w:rFonts w:ascii="Century Gothic" w:hAnsi="Century Gothic"/>
        </w:rPr>
      </w:pPr>
    </w:p>
    <w:p w14:paraId="1AA19ABB" w14:textId="22F00A14" w:rsidR="00ED05EA" w:rsidRPr="00FA4648" w:rsidRDefault="00ED05EA" w:rsidP="00245CA8">
      <w:pPr>
        <w:pStyle w:val="ListParagraph"/>
        <w:numPr>
          <w:ilvl w:val="0"/>
          <w:numId w:val="35"/>
        </w:numPr>
        <w:jc w:val="left"/>
        <w:rPr>
          <w:rFonts w:ascii="Century Gothic" w:hAnsi="Century Gothic"/>
          <w:b/>
        </w:rPr>
      </w:pPr>
      <w:r w:rsidRPr="00FA4648">
        <w:rPr>
          <w:rFonts w:ascii="Century Gothic" w:hAnsi="Century Gothic"/>
          <w:b/>
        </w:rPr>
        <w:t>Advanced Learning Loan</w:t>
      </w:r>
      <w:r w:rsidR="00FA4648">
        <w:rPr>
          <w:rFonts w:ascii="Century Gothic" w:hAnsi="Century Gothic"/>
          <w:b/>
        </w:rPr>
        <w:br/>
      </w:r>
      <w:r w:rsidR="00FA4648">
        <w:rPr>
          <w:rFonts w:ascii="Century Gothic" w:hAnsi="Century Gothic"/>
          <w:b/>
        </w:rPr>
        <w:br/>
      </w:r>
      <w:r w:rsidRPr="00FA4648">
        <w:rPr>
          <w:rFonts w:ascii="Century Gothic" w:hAnsi="Century Gothic"/>
        </w:rPr>
        <w:t xml:space="preserve">Learners who are 19+ </w:t>
      </w:r>
      <w:r w:rsidR="007D1FA9" w:rsidRPr="00FA4648">
        <w:rPr>
          <w:rFonts w:ascii="Century Gothic" w:hAnsi="Century Gothic"/>
        </w:rPr>
        <w:t xml:space="preserve">and </w:t>
      </w:r>
      <w:r w:rsidRPr="00FA4648">
        <w:rPr>
          <w:rFonts w:ascii="Century Gothic" w:hAnsi="Century Gothic"/>
        </w:rPr>
        <w:t xml:space="preserve">enrolling on a Level 3 qualification and </w:t>
      </w:r>
      <w:r w:rsidR="00855A6D" w:rsidRPr="00FA4648">
        <w:rPr>
          <w:rFonts w:ascii="Century Gothic" w:hAnsi="Century Gothic"/>
        </w:rPr>
        <w:t>are required</w:t>
      </w:r>
      <w:r w:rsidRPr="00FA4648">
        <w:rPr>
          <w:rFonts w:ascii="Century Gothic" w:hAnsi="Century Gothic"/>
        </w:rPr>
        <w:t xml:space="preserve"> to pay fees </w:t>
      </w:r>
      <w:r w:rsidR="00605FD6" w:rsidRPr="00FA4648">
        <w:rPr>
          <w:rFonts w:ascii="Century Gothic" w:hAnsi="Century Gothic"/>
        </w:rPr>
        <w:t xml:space="preserve">may wish to take out a </w:t>
      </w:r>
      <w:r w:rsidR="00855A6D" w:rsidRPr="00FA4648">
        <w:rPr>
          <w:rFonts w:ascii="Century Gothic" w:hAnsi="Century Gothic"/>
        </w:rPr>
        <w:t>government</w:t>
      </w:r>
      <w:r w:rsidR="00605FD6" w:rsidRPr="00FA4648">
        <w:rPr>
          <w:rFonts w:ascii="Century Gothic" w:hAnsi="Century Gothic"/>
        </w:rPr>
        <w:t xml:space="preserve"> provided Advanced Learner Loan</w:t>
      </w:r>
      <w:r w:rsidRPr="00FA4648">
        <w:rPr>
          <w:rFonts w:ascii="Century Gothic" w:hAnsi="Century Gothic"/>
        </w:rPr>
        <w:t xml:space="preserve">. Fees will be set at funding rates advised by the ESFA. </w:t>
      </w:r>
      <w:r w:rsidR="00855A6D" w:rsidRPr="00FA4648">
        <w:rPr>
          <w:rFonts w:ascii="Century Gothic" w:hAnsi="Century Gothic"/>
        </w:rPr>
        <w:t xml:space="preserve"> </w:t>
      </w:r>
      <w:r w:rsidRPr="00FA4648">
        <w:rPr>
          <w:rFonts w:ascii="Century Gothic" w:hAnsi="Century Gothic"/>
        </w:rPr>
        <w:t xml:space="preserve">We reserve the right to set some fees lower than advised rates to </w:t>
      </w:r>
      <w:r w:rsidR="00855A6D" w:rsidRPr="00FA4648">
        <w:rPr>
          <w:rFonts w:ascii="Century Gothic" w:hAnsi="Century Gothic"/>
        </w:rPr>
        <w:t>consider</w:t>
      </w:r>
      <w:r w:rsidRPr="00FA4648">
        <w:rPr>
          <w:rFonts w:ascii="Century Gothic" w:hAnsi="Century Gothic"/>
        </w:rPr>
        <w:t xml:space="preserve"> local market conditions.</w:t>
      </w:r>
      <w:r w:rsidR="00605FD6" w:rsidRPr="00FA4648">
        <w:rPr>
          <w:rFonts w:ascii="Century Gothic" w:hAnsi="Century Gothic"/>
        </w:rPr>
        <w:t xml:space="preserve"> </w:t>
      </w:r>
    </w:p>
    <w:p w14:paraId="42308CE8" w14:textId="77777777" w:rsidR="00855A6D" w:rsidRDefault="00855A6D" w:rsidP="00245CA8">
      <w:pPr>
        <w:jc w:val="left"/>
        <w:rPr>
          <w:rFonts w:ascii="Century Gothic" w:hAnsi="Century Gothic"/>
          <w:b/>
        </w:rPr>
      </w:pPr>
    </w:p>
    <w:p w14:paraId="2D44FFA0" w14:textId="77777777" w:rsidR="006B6674" w:rsidRPr="006B6674" w:rsidRDefault="007207A3" w:rsidP="00245CA8">
      <w:pPr>
        <w:pStyle w:val="ListParagraph"/>
        <w:numPr>
          <w:ilvl w:val="0"/>
          <w:numId w:val="35"/>
        </w:numPr>
        <w:jc w:val="left"/>
        <w:rPr>
          <w:rFonts w:ascii="Century Gothic" w:hAnsi="Century Gothic"/>
          <w:b/>
        </w:rPr>
      </w:pPr>
      <w:r w:rsidRPr="00FA4648">
        <w:rPr>
          <w:rFonts w:ascii="Century Gothic" w:hAnsi="Century Gothic"/>
          <w:b/>
        </w:rPr>
        <w:t>Full Cost </w:t>
      </w:r>
      <w:r w:rsidR="00FA4648">
        <w:rPr>
          <w:rFonts w:ascii="Century Gothic" w:hAnsi="Century Gothic"/>
          <w:b/>
        </w:rPr>
        <w:br/>
      </w:r>
      <w:r w:rsidR="00FA4648">
        <w:rPr>
          <w:rFonts w:ascii="Century Gothic" w:hAnsi="Century Gothic"/>
          <w:b/>
        </w:rPr>
        <w:br/>
      </w:r>
      <w:r w:rsidRPr="00FA4648">
        <w:rPr>
          <w:rFonts w:ascii="Century Gothic" w:hAnsi="Century Gothic"/>
        </w:rPr>
        <w:t>Full cost programmes are not government funded. Fees set for these course</w:t>
      </w:r>
      <w:r w:rsidR="00855A6D" w:rsidRPr="00FA4648">
        <w:rPr>
          <w:rFonts w:ascii="Century Gothic" w:hAnsi="Century Gothic"/>
        </w:rPr>
        <w:t>s</w:t>
      </w:r>
      <w:r w:rsidRPr="00FA4648">
        <w:rPr>
          <w:rFonts w:ascii="Century Gothic" w:hAnsi="Century Gothic"/>
        </w:rPr>
        <w:t xml:space="preserve"> are at a competitive market rate determined by LLS</w:t>
      </w:r>
      <w:r w:rsidR="00D032D5" w:rsidRPr="00FA4648">
        <w:rPr>
          <w:rFonts w:ascii="Century Gothic" w:hAnsi="Century Gothic"/>
        </w:rPr>
        <w:t>E</w:t>
      </w:r>
      <w:r w:rsidRPr="00FA4648">
        <w:rPr>
          <w:rFonts w:ascii="Century Gothic" w:hAnsi="Century Gothic"/>
        </w:rPr>
        <w:t>. There is no concessionary fee on full cost classes. Minimum numbers of learners on courses will apply to ensure these courses remain financially viable.</w:t>
      </w:r>
      <w:r w:rsidR="006B6674">
        <w:rPr>
          <w:rFonts w:ascii="Century Gothic" w:hAnsi="Century Gothic"/>
        </w:rPr>
        <w:br/>
      </w:r>
    </w:p>
    <w:p w14:paraId="4B0F6DE6" w14:textId="77777777" w:rsidR="006B6674" w:rsidRPr="006B6674" w:rsidRDefault="006B6674" w:rsidP="00245CA8">
      <w:pPr>
        <w:pStyle w:val="ListParagraph"/>
        <w:jc w:val="left"/>
        <w:rPr>
          <w:rFonts w:ascii="Century Gothic" w:hAnsi="Century Gothic"/>
          <w:b/>
        </w:rPr>
      </w:pPr>
    </w:p>
    <w:p w14:paraId="597A9E75" w14:textId="37C02355" w:rsidR="008439AE" w:rsidRPr="00AE25E6" w:rsidRDefault="00086056" w:rsidP="00245CA8">
      <w:pPr>
        <w:pStyle w:val="ListParagraph"/>
        <w:numPr>
          <w:ilvl w:val="0"/>
          <w:numId w:val="35"/>
        </w:numPr>
        <w:jc w:val="left"/>
        <w:rPr>
          <w:rFonts w:ascii="Century Gothic" w:hAnsi="Century Gothic"/>
          <w:b/>
        </w:rPr>
      </w:pPr>
      <w:r w:rsidRPr="006B6674">
        <w:rPr>
          <w:rFonts w:ascii="Century Gothic" w:hAnsi="Century Gothic"/>
          <w:b/>
        </w:rPr>
        <w:t>Fee Waiver:</w:t>
      </w:r>
      <w:r w:rsidR="00FA4648" w:rsidRPr="006B6674">
        <w:rPr>
          <w:rFonts w:ascii="Century Gothic" w:hAnsi="Century Gothic"/>
          <w:b/>
        </w:rPr>
        <w:t xml:space="preserve"> </w:t>
      </w:r>
      <w:r w:rsidR="00FA4648" w:rsidRPr="006B6674">
        <w:rPr>
          <w:rFonts w:ascii="Century Gothic" w:hAnsi="Century Gothic"/>
          <w:b/>
        </w:rPr>
        <w:br/>
      </w:r>
      <w:r w:rsidR="00FA4648" w:rsidRPr="006B6674">
        <w:rPr>
          <w:rFonts w:ascii="Century Gothic" w:hAnsi="Century Gothic"/>
          <w:b/>
        </w:rPr>
        <w:br/>
      </w:r>
      <w:r w:rsidR="00362B23" w:rsidRPr="006B6674">
        <w:rPr>
          <w:rFonts w:ascii="Century Gothic" w:hAnsi="Century Gothic"/>
        </w:rPr>
        <w:t>A</w:t>
      </w:r>
      <w:r w:rsidRPr="006B6674">
        <w:rPr>
          <w:rFonts w:ascii="Century Gothic" w:hAnsi="Century Gothic"/>
        </w:rPr>
        <w:t xml:space="preserve"> fee waiver will only be given where individuals can provide evidence of their situation prior to the start of their course. Where this is not suppl</w:t>
      </w:r>
      <w:r w:rsidR="008439AE" w:rsidRPr="006B6674">
        <w:rPr>
          <w:rFonts w:ascii="Century Gothic" w:hAnsi="Century Gothic"/>
        </w:rPr>
        <w:t xml:space="preserve">ied, the course fee will apply. </w:t>
      </w:r>
      <w:r w:rsidR="00362B23" w:rsidRPr="006B6674">
        <w:rPr>
          <w:rFonts w:ascii="Century Gothic" w:hAnsi="Century Gothic"/>
        </w:rPr>
        <w:t>A</w:t>
      </w:r>
      <w:r w:rsidRPr="006B6674">
        <w:rPr>
          <w:rFonts w:ascii="Century Gothic" w:hAnsi="Century Gothic"/>
        </w:rPr>
        <w:t xml:space="preserve"> fee waiver can only be given to </w:t>
      </w:r>
      <w:r w:rsidR="00362B23" w:rsidRPr="006B6674">
        <w:rPr>
          <w:rFonts w:ascii="Century Gothic" w:hAnsi="Century Gothic"/>
        </w:rPr>
        <w:t>a learner</w:t>
      </w:r>
      <w:r w:rsidRPr="006B6674">
        <w:rPr>
          <w:rFonts w:ascii="Century Gothic" w:hAnsi="Century Gothic"/>
        </w:rPr>
        <w:t xml:space="preserve"> who meet</w:t>
      </w:r>
      <w:r w:rsidR="00362B23" w:rsidRPr="006B6674">
        <w:rPr>
          <w:rFonts w:ascii="Century Gothic" w:hAnsi="Century Gothic"/>
        </w:rPr>
        <w:t>s</w:t>
      </w:r>
      <w:r w:rsidRPr="006B6674">
        <w:rPr>
          <w:rFonts w:ascii="Century Gothic" w:hAnsi="Century Gothic"/>
        </w:rPr>
        <w:t xml:space="preserve"> the ESFA eligibility criteria for access to public funding</w:t>
      </w:r>
      <w:r w:rsidR="008439AE" w:rsidRPr="006B6674">
        <w:rPr>
          <w:rFonts w:ascii="Century Gothic" w:hAnsi="Century Gothic"/>
        </w:rPr>
        <w:t>.</w:t>
      </w:r>
      <w:r w:rsidR="00FA4648" w:rsidRPr="006B6674">
        <w:rPr>
          <w:rFonts w:ascii="Century Gothic" w:hAnsi="Century Gothic"/>
        </w:rPr>
        <w:br/>
      </w:r>
      <w:r w:rsidR="00FA4648" w:rsidRPr="006B6674">
        <w:rPr>
          <w:rFonts w:ascii="Century Gothic" w:hAnsi="Century Gothic"/>
        </w:rPr>
        <w:br/>
      </w:r>
      <w:r w:rsidR="00362B23" w:rsidRPr="006B6674">
        <w:rPr>
          <w:rFonts w:ascii="Century Gothic" w:hAnsi="Century Gothic"/>
        </w:rPr>
        <w:t>F</w:t>
      </w:r>
      <w:r w:rsidR="008439AE" w:rsidRPr="006B6674">
        <w:rPr>
          <w:rFonts w:ascii="Century Gothic" w:hAnsi="Century Gothic"/>
        </w:rPr>
        <w:t>ee waiver</w:t>
      </w:r>
      <w:r w:rsidR="00362B23" w:rsidRPr="006B6674">
        <w:rPr>
          <w:rFonts w:ascii="Century Gothic" w:hAnsi="Century Gothic"/>
        </w:rPr>
        <w:t>s do</w:t>
      </w:r>
      <w:r w:rsidR="008439AE" w:rsidRPr="006B6674">
        <w:rPr>
          <w:rFonts w:ascii="Century Gothic" w:hAnsi="Century Gothic"/>
        </w:rPr>
        <w:t xml:space="preserve"> not apply to </w:t>
      </w:r>
      <w:r w:rsidR="00362B23" w:rsidRPr="006B6674">
        <w:rPr>
          <w:rFonts w:ascii="Century Gothic" w:hAnsi="Century Gothic"/>
        </w:rPr>
        <w:t>f</w:t>
      </w:r>
      <w:r w:rsidR="008439AE" w:rsidRPr="006B6674">
        <w:rPr>
          <w:rFonts w:ascii="Century Gothic" w:hAnsi="Century Gothic"/>
        </w:rPr>
        <w:t>ull cost programmes</w:t>
      </w:r>
      <w:r w:rsidR="00855A6D" w:rsidRPr="006B6674">
        <w:rPr>
          <w:rFonts w:ascii="Century Gothic" w:hAnsi="Century Gothic"/>
        </w:rPr>
        <w:t xml:space="preserve"> or where learners are not eligible for one of the </w:t>
      </w:r>
      <w:r w:rsidR="0056387A" w:rsidRPr="006B6674">
        <w:rPr>
          <w:rFonts w:ascii="Century Gothic" w:hAnsi="Century Gothic"/>
        </w:rPr>
        <w:t>governments’</w:t>
      </w:r>
      <w:r w:rsidR="00855A6D" w:rsidRPr="006B6674">
        <w:rPr>
          <w:rFonts w:ascii="Century Gothic" w:hAnsi="Century Gothic"/>
        </w:rPr>
        <w:t xml:space="preserve"> funded legal entitlements (see funding rules)</w:t>
      </w:r>
      <w:r w:rsidR="008439AE" w:rsidRPr="006B6674">
        <w:rPr>
          <w:rFonts w:ascii="Century Gothic" w:hAnsi="Century Gothic"/>
        </w:rPr>
        <w:t xml:space="preserve">. </w:t>
      </w:r>
      <w:r w:rsidR="00FA4648" w:rsidRPr="006B6674">
        <w:rPr>
          <w:rFonts w:ascii="Century Gothic" w:hAnsi="Century Gothic"/>
        </w:rPr>
        <w:br/>
      </w:r>
      <w:r w:rsidR="00FA4648" w:rsidRPr="006B6674">
        <w:rPr>
          <w:rFonts w:ascii="Century Gothic" w:hAnsi="Century Gothic"/>
        </w:rPr>
        <w:br/>
      </w:r>
      <w:r w:rsidR="00B82400" w:rsidRPr="006B6674">
        <w:rPr>
          <w:rFonts w:ascii="Century Gothic" w:hAnsi="Century Gothic"/>
        </w:rPr>
        <w:t xml:space="preserve">Adult learners enrolled </w:t>
      </w:r>
      <w:r w:rsidR="0056387A" w:rsidRPr="006B6674">
        <w:rPr>
          <w:rFonts w:ascii="Century Gothic" w:hAnsi="Century Gothic"/>
        </w:rPr>
        <w:t>on</w:t>
      </w:r>
      <w:r w:rsidR="00B82400" w:rsidRPr="006B6674">
        <w:rPr>
          <w:rFonts w:ascii="Century Gothic" w:hAnsi="Century Gothic"/>
        </w:rPr>
        <w:t xml:space="preserve"> courses </w:t>
      </w:r>
      <w:r w:rsidR="0056387A" w:rsidRPr="006B6674">
        <w:rPr>
          <w:rFonts w:ascii="Century Gothic" w:hAnsi="Century Gothic"/>
        </w:rPr>
        <w:t xml:space="preserve">funded by the Adult Education Budget (AEB) </w:t>
      </w:r>
      <w:r w:rsidR="00B82400" w:rsidRPr="006B6674">
        <w:rPr>
          <w:rFonts w:ascii="Century Gothic" w:hAnsi="Century Gothic"/>
        </w:rPr>
        <w:t>may be subject to a fee waiver if in receipt of income</w:t>
      </w:r>
      <w:r w:rsidR="00FC5E6F" w:rsidRPr="006B6674">
        <w:rPr>
          <w:rFonts w:ascii="Century Gothic" w:hAnsi="Century Gothic"/>
        </w:rPr>
        <w:t>-</w:t>
      </w:r>
      <w:r w:rsidR="00B82400" w:rsidRPr="006B6674">
        <w:rPr>
          <w:rFonts w:ascii="Century Gothic" w:hAnsi="Century Gothic"/>
        </w:rPr>
        <w:t>based state benefit</w:t>
      </w:r>
      <w:r w:rsidR="00AE25E6">
        <w:rPr>
          <w:rFonts w:ascii="Century Gothic" w:hAnsi="Century Gothic"/>
        </w:rPr>
        <w:t xml:space="preserve"> (see para 15 below).</w:t>
      </w:r>
    </w:p>
    <w:p w14:paraId="7B61E969" w14:textId="77777777" w:rsidR="00AE25E6" w:rsidRPr="00AE25E6" w:rsidRDefault="00AE25E6" w:rsidP="00245CA8">
      <w:pPr>
        <w:pStyle w:val="ListParagraph"/>
        <w:jc w:val="left"/>
        <w:rPr>
          <w:rFonts w:ascii="Century Gothic" w:hAnsi="Century Gothic"/>
          <w:b/>
        </w:rPr>
      </w:pPr>
    </w:p>
    <w:p w14:paraId="611846D3" w14:textId="2572EAA6" w:rsidR="00AE25E6" w:rsidRPr="00CB66FD" w:rsidRDefault="00AE25E6" w:rsidP="00245CA8">
      <w:pPr>
        <w:pStyle w:val="ListParagraph"/>
        <w:jc w:val="left"/>
        <w:rPr>
          <w:rFonts w:ascii="Century Gothic" w:hAnsi="Century Gothic"/>
          <w:bCs/>
        </w:rPr>
      </w:pPr>
      <w:r w:rsidRPr="00CB66FD">
        <w:rPr>
          <w:rFonts w:ascii="Century Gothic" w:hAnsi="Century Gothic"/>
          <w:bCs/>
        </w:rPr>
        <w:t xml:space="preserve">In exceptional circumstances an individual fee waiver </w:t>
      </w:r>
      <w:r w:rsidR="00156821" w:rsidRPr="00CB66FD">
        <w:rPr>
          <w:rFonts w:ascii="Century Gothic" w:hAnsi="Century Gothic"/>
          <w:bCs/>
        </w:rPr>
        <w:t xml:space="preserve">for AEB </w:t>
      </w:r>
      <w:r w:rsidRPr="00CB66FD">
        <w:rPr>
          <w:rFonts w:ascii="Century Gothic" w:hAnsi="Century Gothic"/>
          <w:bCs/>
        </w:rPr>
        <w:t>may be granted</w:t>
      </w:r>
      <w:r w:rsidR="00156821" w:rsidRPr="00CB66FD">
        <w:rPr>
          <w:rFonts w:ascii="Century Gothic" w:hAnsi="Century Gothic"/>
          <w:bCs/>
        </w:rPr>
        <w:t>.  This will be requested by email within 7 days of enrolment to the FACES Service Manager</w:t>
      </w:r>
      <w:r w:rsidR="002D46C1" w:rsidRPr="00CB66FD">
        <w:rPr>
          <w:rFonts w:ascii="Century Gothic" w:hAnsi="Century Gothic"/>
          <w:bCs/>
        </w:rPr>
        <w:t xml:space="preserve"> at </w:t>
      </w:r>
      <w:hyperlink r:id="rId17" w:history="1">
        <w:r w:rsidR="002D46C1" w:rsidRPr="00CB66FD">
          <w:rPr>
            <w:rStyle w:val="Hyperlink"/>
            <w:rFonts w:ascii="Century Gothic" w:hAnsi="Century Gothic"/>
            <w:bCs/>
          </w:rPr>
          <w:t>FACES@sheffield.gov.uk</w:t>
        </w:r>
      </w:hyperlink>
      <w:r w:rsidR="002D46C1" w:rsidRPr="00CB66FD">
        <w:rPr>
          <w:rFonts w:ascii="Century Gothic" w:hAnsi="Century Gothic"/>
          <w:bCs/>
        </w:rPr>
        <w:t xml:space="preserve"> with a copy email to </w:t>
      </w:r>
      <w:hyperlink r:id="rId18" w:history="1">
        <w:r w:rsidR="00934ECE" w:rsidRPr="00CB66FD">
          <w:rPr>
            <w:rStyle w:val="Hyperlink"/>
            <w:rFonts w:ascii="Century Gothic" w:hAnsi="Century Gothic"/>
            <w:bCs/>
          </w:rPr>
          <w:t>cypd.lse.operations@sheffield.gov.uk</w:t>
        </w:r>
      </w:hyperlink>
      <w:r w:rsidR="00934ECE" w:rsidRPr="00CB66FD">
        <w:rPr>
          <w:rFonts w:ascii="Century Gothic" w:hAnsi="Century Gothic"/>
          <w:bCs/>
        </w:rPr>
        <w:t xml:space="preserve"> .  You will provide details of the learner, an outline of their exceptional circumstance, </w:t>
      </w:r>
      <w:r w:rsidR="007E22A1" w:rsidRPr="00CB66FD">
        <w:rPr>
          <w:rFonts w:ascii="Century Gothic" w:hAnsi="Century Gothic"/>
          <w:bCs/>
        </w:rPr>
        <w:t xml:space="preserve">and financial restrictions that exclude them from attending the course.  </w:t>
      </w:r>
      <w:r w:rsidR="00934ECE" w:rsidRPr="00CB66FD">
        <w:rPr>
          <w:rFonts w:ascii="Century Gothic" w:hAnsi="Century Gothic"/>
          <w:bCs/>
        </w:rPr>
        <w:t>A response will be given with 3 days.</w:t>
      </w:r>
    </w:p>
    <w:p w14:paraId="7669D8CA" w14:textId="77777777" w:rsidR="00FC5E6F" w:rsidRDefault="00FC5E6F" w:rsidP="00245CA8">
      <w:pPr>
        <w:jc w:val="left"/>
        <w:rPr>
          <w:rFonts w:ascii="Century Gothic" w:hAnsi="Century Gothic"/>
          <w:b/>
        </w:rPr>
      </w:pPr>
    </w:p>
    <w:p w14:paraId="501DD18F" w14:textId="6568DF50" w:rsidR="00362B23" w:rsidRDefault="00362B23" w:rsidP="00245CA8">
      <w:pPr>
        <w:pStyle w:val="ListParagraph"/>
        <w:numPr>
          <w:ilvl w:val="0"/>
          <w:numId w:val="35"/>
        </w:numPr>
        <w:jc w:val="left"/>
        <w:rPr>
          <w:rFonts w:ascii="Century Gothic" w:hAnsi="Century Gothic"/>
          <w:b/>
        </w:rPr>
      </w:pPr>
      <w:r w:rsidRPr="001A4186">
        <w:rPr>
          <w:rFonts w:ascii="Century Gothic" w:hAnsi="Century Gothic"/>
          <w:b/>
        </w:rPr>
        <w:t>Active Benefits</w:t>
      </w:r>
    </w:p>
    <w:p w14:paraId="3E9C85CD" w14:textId="77777777" w:rsidR="00245CA8" w:rsidRPr="001A4186" w:rsidRDefault="00245CA8" w:rsidP="00245CA8">
      <w:pPr>
        <w:pStyle w:val="ListParagraph"/>
        <w:jc w:val="left"/>
        <w:rPr>
          <w:rFonts w:ascii="Century Gothic" w:hAnsi="Century Gothic"/>
          <w:b/>
        </w:rPr>
      </w:pPr>
    </w:p>
    <w:p w14:paraId="22FD39BC" w14:textId="4B037E9D" w:rsidR="00362B23" w:rsidRPr="00362B23" w:rsidRDefault="00362B23" w:rsidP="00245CA8">
      <w:pPr>
        <w:numPr>
          <w:ilvl w:val="0"/>
          <w:numId w:val="30"/>
        </w:numPr>
        <w:ind w:left="1276" w:hanging="502"/>
        <w:jc w:val="left"/>
        <w:rPr>
          <w:rFonts w:ascii="Century Gothic" w:hAnsi="Century Gothic"/>
        </w:rPr>
      </w:pPr>
      <w:r>
        <w:rPr>
          <w:rFonts w:ascii="Century Gothic" w:hAnsi="Century Gothic"/>
        </w:rPr>
        <w:t xml:space="preserve">Job Seekers Allowance </w:t>
      </w:r>
      <w:r w:rsidR="0056387A">
        <w:rPr>
          <w:rFonts w:ascii="Century Gothic" w:hAnsi="Century Gothic"/>
        </w:rPr>
        <w:t>(</w:t>
      </w:r>
      <w:r>
        <w:rPr>
          <w:rFonts w:ascii="Century Gothic" w:hAnsi="Century Gothic"/>
        </w:rPr>
        <w:t>JSA</w:t>
      </w:r>
      <w:r w:rsidR="0056387A">
        <w:rPr>
          <w:rFonts w:ascii="Century Gothic" w:hAnsi="Century Gothic"/>
        </w:rPr>
        <w:t xml:space="preserve">) including those receiving National Insurance credits </w:t>
      </w:r>
      <w:r w:rsidR="005C7038">
        <w:rPr>
          <w:rFonts w:ascii="Century Gothic" w:hAnsi="Century Gothic"/>
        </w:rPr>
        <w:t>only.</w:t>
      </w:r>
    </w:p>
    <w:p w14:paraId="3748A154" w14:textId="77777777" w:rsidR="00160771" w:rsidRPr="00160771" w:rsidRDefault="00362B23" w:rsidP="00245CA8">
      <w:pPr>
        <w:numPr>
          <w:ilvl w:val="0"/>
          <w:numId w:val="30"/>
        </w:numPr>
        <w:ind w:left="1276" w:hanging="502"/>
        <w:jc w:val="left"/>
        <w:rPr>
          <w:rFonts w:ascii="Century Gothic" w:hAnsi="Century Gothic"/>
        </w:rPr>
      </w:pPr>
      <w:r w:rsidRPr="00362B23">
        <w:rPr>
          <w:rFonts w:ascii="Century Gothic" w:hAnsi="Century Gothic"/>
        </w:rPr>
        <w:lastRenderedPageBreak/>
        <w:t>Employm</w:t>
      </w:r>
      <w:r>
        <w:rPr>
          <w:rFonts w:ascii="Century Gothic" w:hAnsi="Century Gothic"/>
        </w:rPr>
        <w:t>ent and Support Allowance (ESA)</w:t>
      </w:r>
    </w:p>
    <w:p w14:paraId="2D5292B6" w14:textId="77777777" w:rsidR="00903296" w:rsidRPr="00903296" w:rsidRDefault="00160771" w:rsidP="00245CA8">
      <w:pPr>
        <w:numPr>
          <w:ilvl w:val="0"/>
          <w:numId w:val="46"/>
        </w:numPr>
        <w:shd w:val="clear" w:color="auto" w:fill="FFFFFF"/>
        <w:tabs>
          <w:tab w:val="clear" w:pos="720"/>
        </w:tabs>
        <w:spacing w:before="0" w:after="75"/>
        <w:ind w:left="1276" w:hanging="502"/>
        <w:jc w:val="left"/>
        <w:rPr>
          <w:rFonts w:ascii="Century Gothic" w:hAnsi="Century Gothic"/>
        </w:rPr>
      </w:pPr>
      <w:r w:rsidRPr="00D032D5">
        <w:rPr>
          <w:rFonts w:ascii="Century Gothic" w:hAnsi="Century Gothic"/>
        </w:rPr>
        <w:t>Universal Credit, and their take-home pay as recorded on their Universal Credit statement (disregarding benefits) is less than £</w:t>
      </w:r>
      <w:r w:rsidR="00903296">
        <w:rPr>
          <w:rFonts w:ascii="Century Gothic" w:hAnsi="Century Gothic"/>
        </w:rPr>
        <w:t>617</w:t>
      </w:r>
      <w:r w:rsidRPr="00D032D5">
        <w:rPr>
          <w:rFonts w:ascii="Century Gothic" w:hAnsi="Century Gothic"/>
        </w:rPr>
        <w:t xml:space="preserve"> a month (learner is sole adult in their benefit claim) or £</w:t>
      </w:r>
      <w:r w:rsidR="00903296">
        <w:rPr>
          <w:rFonts w:ascii="Century Gothic" w:hAnsi="Century Gothic"/>
        </w:rPr>
        <w:t>988</w:t>
      </w:r>
      <w:r w:rsidRPr="00D032D5">
        <w:rPr>
          <w:rFonts w:ascii="Century Gothic" w:hAnsi="Century Gothic"/>
        </w:rPr>
        <w:t xml:space="preserve"> a month (learner has a joint benefit claim with their partner) </w:t>
      </w:r>
    </w:p>
    <w:p w14:paraId="21FF55CB" w14:textId="75EDBB1D" w:rsidR="00864EC7" w:rsidRPr="00903296" w:rsidRDefault="00903296" w:rsidP="00245CA8">
      <w:pPr>
        <w:numPr>
          <w:ilvl w:val="0"/>
          <w:numId w:val="46"/>
        </w:numPr>
        <w:shd w:val="clear" w:color="auto" w:fill="FFFFFF"/>
        <w:tabs>
          <w:tab w:val="clear" w:pos="720"/>
        </w:tabs>
        <w:spacing w:before="0" w:after="75"/>
        <w:ind w:left="1276" w:hanging="502"/>
        <w:jc w:val="left"/>
        <w:rPr>
          <w:rFonts w:ascii="Century Gothic" w:hAnsi="Century Gothic"/>
        </w:rPr>
      </w:pPr>
      <w:r w:rsidRPr="00903296">
        <w:rPr>
          <w:rFonts w:ascii="Century Gothic" w:hAnsi="Century Gothic"/>
        </w:rPr>
        <w:t>are released on temporary licence, studying outside a prison environment, and not funded by the Ministry of Justice</w:t>
      </w:r>
    </w:p>
    <w:p w14:paraId="55220855" w14:textId="77777777" w:rsidR="00160771" w:rsidRPr="00160771" w:rsidRDefault="00160771" w:rsidP="00245CA8">
      <w:pPr>
        <w:ind w:left="720"/>
        <w:jc w:val="left"/>
        <w:rPr>
          <w:rFonts w:ascii="Century Gothic" w:hAnsi="Century Gothic"/>
        </w:rPr>
      </w:pPr>
    </w:p>
    <w:p w14:paraId="01796E43" w14:textId="27166A4F" w:rsidR="00362B23" w:rsidRDefault="00362B23" w:rsidP="00245CA8">
      <w:pPr>
        <w:pStyle w:val="ListParagraph"/>
        <w:numPr>
          <w:ilvl w:val="0"/>
          <w:numId w:val="35"/>
        </w:numPr>
        <w:jc w:val="left"/>
        <w:rPr>
          <w:rFonts w:ascii="Century Gothic" w:hAnsi="Century Gothic"/>
          <w:b/>
        </w:rPr>
      </w:pPr>
      <w:r w:rsidRPr="001A4186">
        <w:rPr>
          <w:rFonts w:ascii="Century Gothic" w:hAnsi="Century Gothic"/>
          <w:b/>
        </w:rPr>
        <w:t>Other income related state benefits</w:t>
      </w:r>
    </w:p>
    <w:p w14:paraId="66B86CDF" w14:textId="77777777" w:rsidR="00245CA8" w:rsidRPr="001A4186" w:rsidRDefault="00245CA8" w:rsidP="00245CA8">
      <w:pPr>
        <w:pStyle w:val="ListParagraph"/>
        <w:jc w:val="left"/>
        <w:rPr>
          <w:rFonts w:ascii="Century Gothic" w:hAnsi="Century Gothic"/>
          <w:b/>
        </w:rPr>
      </w:pPr>
    </w:p>
    <w:p w14:paraId="350133F8" w14:textId="77777777" w:rsidR="00362B23" w:rsidRPr="00362B23" w:rsidRDefault="00362B23" w:rsidP="00245CA8">
      <w:pPr>
        <w:numPr>
          <w:ilvl w:val="0"/>
          <w:numId w:val="31"/>
        </w:numPr>
        <w:ind w:left="1134" w:hanging="425"/>
        <w:jc w:val="left"/>
        <w:rPr>
          <w:rFonts w:ascii="Century Gothic" w:hAnsi="Century Gothic"/>
        </w:rPr>
      </w:pPr>
      <w:r>
        <w:rPr>
          <w:rFonts w:ascii="Century Gothic" w:hAnsi="Century Gothic"/>
        </w:rPr>
        <w:t>Income Support</w:t>
      </w:r>
    </w:p>
    <w:p w14:paraId="0A337758" w14:textId="00C078C5" w:rsidR="00362B23" w:rsidRPr="00362B23" w:rsidRDefault="00362B23" w:rsidP="00245CA8">
      <w:pPr>
        <w:numPr>
          <w:ilvl w:val="0"/>
          <w:numId w:val="31"/>
        </w:numPr>
        <w:ind w:left="1134" w:hanging="425"/>
        <w:jc w:val="left"/>
        <w:rPr>
          <w:rFonts w:ascii="Century Gothic" w:hAnsi="Century Gothic"/>
        </w:rPr>
      </w:pPr>
      <w:r>
        <w:rPr>
          <w:rFonts w:ascii="Century Gothic" w:hAnsi="Century Gothic"/>
        </w:rPr>
        <w:t>Incapacity Benefit</w:t>
      </w:r>
      <w:r w:rsidR="00416C92">
        <w:rPr>
          <w:rFonts w:ascii="Century Gothic" w:hAnsi="Century Gothic"/>
        </w:rPr>
        <w:t xml:space="preserve"> (related to low income)</w:t>
      </w:r>
    </w:p>
    <w:p w14:paraId="73761650" w14:textId="0830300E" w:rsidR="00362B23" w:rsidRPr="00362B23" w:rsidRDefault="00362B23" w:rsidP="00245CA8">
      <w:pPr>
        <w:numPr>
          <w:ilvl w:val="0"/>
          <w:numId w:val="31"/>
        </w:numPr>
        <w:ind w:left="1134" w:hanging="425"/>
        <w:jc w:val="left"/>
        <w:rPr>
          <w:rFonts w:ascii="Century Gothic" w:hAnsi="Century Gothic"/>
        </w:rPr>
      </w:pPr>
      <w:r>
        <w:rPr>
          <w:rFonts w:ascii="Century Gothic" w:hAnsi="Century Gothic"/>
        </w:rPr>
        <w:t>Housing Benefit</w:t>
      </w:r>
      <w:r w:rsidR="00416C92">
        <w:rPr>
          <w:rFonts w:ascii="Century Gothic" w:hAnsi="Century Gothic"/>
        </w:rPr>
        <w:t xml:space="preserve"> (related to Universal Credit)</w:t>
      </w:r>
    </w:p>
    <w:p w14:paraId="1442EB1F" w14:textId="77EFE961" w:rsidR="00362B23" w:rsidRPr="00362B23" w:rsidRDefault="00362B23" w:rsidP="00245CA8">
      <w:pPr>
        <w:numPr>
          <w:ilvl w:val="0"/>
          <w:numId w:val="31"/>
        </w:numPr>
        <w:ind w:left="1134" w:hanging="425"/>
        <w:jc w:val="left"/>
        <w:rPr>
          <w:rFonts w:ascii="Century Gothic" w:hAnsi="Century Gothic"/>
        </w:rPr>
      </w:pPr>
      <w:r w:rsidRPr="00362B23">
        <w:rPr>
          <w:rFonts w:ascii="Century Gothic" w:hAnsi="Century Gothic"/>
        </w:rPr>
        <w:t xml:space="preserve">Council Tax </w:t>
      </w:r>
      <w:r>
        <w:rPr>
          <w:rFonts w:ascii="Century Gothic" w:hAnsi="Century Gothic"/>
        </w:rPr>
        <w:t>Benefit (</w:t>
      </w:r>
      <w:r w:rsidR="000B787D">
        <w:rPr>
          <w:rFonts w:ascii="Century Gothic" w:hAnsi="Century Gothic"/>
        </w:rPr>
        <w:t>subject to low</w:t>
      </w:r>
      <w:r w:rsidR="00416C92">
        <w:rPr>
          <w:rFonts w:ascii="Century Gothic" w:hAnsi="Century Gothic"/>
        </w:rPr>
        <w:t>-</w:t>
      </w:r>
      <w:r w:rsidR="000B787D">
        <w:rPr>
          <w:rFonts w:ascii="Century Gothic" w:hAnsi="Century Gothic"/>
        </w:rPr>
        <w:t>income household threshold</w:t>
      </w:r>
      <w:r>
        <w:rPr>
          <w:rFonts w:ascii="Century Gothic" w:hAnsi="Century Gothic"/>
        </w:rPr>
        <w:t>)</w:t>
      </w:r>
    </w:p>
    <w:p w14:paraId="296455C3" w14:textId="77777777" w:rsidR="00362B23" w:rsidRPr="00362B23" w:rsidRDefault="00362B23" w:rsidP="00245CA8">
      <w:pPr>
        <w:numPr>
          <w:ilvl w:val="0"/>
          <w:numId w:val="31"/>
        </w:numPr>
        <w:ind w:left="1134" w:hanging="425"/>
        <w:jc w:val="left"/>
        <w:rPr>
          <w:rFonts w:ascii="Century Gothic" w:hAnsi="Century Gothic"/>
        </w:rPr>
      </w:pPr>
      <w:r w:rsidRPr="00362B23">
        <w:rPr>
          <w:rFonts w:ascii="Century Gothic" w:hAnsi="Century Gothic"/>
        </w:rPr>
        <w:t>Pens</w:t>
      </w:r>
      <w:r>
        <w:rPr>
          <w:rFonts w:ascii="Century Gothic" w:hAnsi="Century Gothic"/>
        </w:rPr>
        <w:t>ion Credit (not savings credit)</w:t>
      </w:r>
    </w:p>
    <w:p w14:paraId="5514320E" w14:textId="77777777" w:rsidR="00B82400" w:rsidRDefault="00362B23" w:rsidP="00245CA8">
      <w:pPr>
        <w:numPr>
          <w:ilvl w:val="0"/>
          <w:numId w:val="31"/>
        </w:numPr>
        <w:ind w:left="1134" w:hanging="425"/>
        <w:jc w:val="left"/>
        <w:rPr>
          <w:rFonts w:ascii="Century Gothic" w:hAnsi="Century Gothic"/>
        </w:rPr>
      </w:pPr>
      <w:r>
        <w:rPr>
          <w:rFonts w:ascii="Century Gothic" w:hAnsi="Century Gothic"/>
        </w:rPr>
        <w:t>Carers Allowance</w:t>
      </w:r>
    </w:p>
    <w:p w14:paraId="2A248F39" w14:textId="34A0F479" w:rsidR="00086056" w:rsidRDefault="000640C6" w:rsidP="00245CA8">
      <w:pPr>
        <w:ind w:left="709"/>
        <w:jc w:val="left"/>
        <w:rPr>
          <w:rFonts w:ascii="Century Gothic" w:hAnsi="Century Gothic"/>
        </w:rPr>
      </w:pPr>
      <w:r w:rsidRPr="000640C6">
        <w:rPr>
          <w:rFonts w:ascii="Century Gothic" w:hAnsi="Century Gothic"/>
        </w:rPr>
        <w:t xml:space="preserve">To be eligible for </w:t>
      </w:r>
      <w:r w:rsidR="00C94EB0" w:rsidRPr="000640C6">
        <w:rPr>
          <w:rFonts w:ascii="Century Gothic" w:hAnsi="Century Gothic"/>
        </w:rPr>
        <w:t>fee waiver learners</w:t>
      </w:r>
      <w:r w:rsidRPr="000640C6">
        <w:rPr>
          <w:rFonts w:ascii="Century Gothic" w:hAnsi="Century Gothic"/>
        </w:rPr>
        <w:t xml:space="preserve"> must provide appropriate evidence at the enrolment session or first teaching session. Proof of entitlement must be current and /or dated within the last 3 months</w:t>
      </w:r>
      <w:r w:rsidR="008C56D0">
        <w:rPr>
          <w:rFonts w:ascii="Century Gothic" w:hAnsi="Century Gothic"/>
        </w:rPr>
        <w:t xml:space="preserve"> and cover the period of learning</w:t>
      </w:r>
      <w:r w:rsidRPr="000640C6">
        <w:rPr>
          <w:rFonts w:ascii="Century Gothic" w:hAnsi="Century Gothic"/>
        </w:rPr>
        <w:t>.</w:t>
      </w:r>
    </w:p>
    <w:p w14:paraId="57973754" w14:textId="77777777" w:rsidR="00C94EB0" w:rsidRDefault="00C94EB0" w:rsidP="00245CA8">
      <w:pPr>
        <w:ind w:left="709"/>
        <w:jc w:val="left"/>
        <w:rPr>
          <w:rFonts w:ascii="Century Gothic" w:hAnsi="Century Gothic"/>
        </w:rPr>
      </w:pPr>
    </w:p>
    <w:p w14:paraId="2DEB411C" w14:textId="0329719E" w:rsidR="00C94EB0" w:rsidRPr="00CB09E1" w:rsidRDefault="00FC5E6F" w:rsidP="00245CA8">
      <w:pPr>
        <w:pStyle w:val="ListParagraph"/>
        <w:numPr>
          <w:ilvl w:val="0"/>
          <w:numId w:val="35"/>
        </w:numPr>
        <w:jc w:val="left"/>
        <w:rPr>
          <w:rFonts w:ascii="Century Gothic" w:hAnsi="Century Gothic"/>
          <w:b/>
        </w:rPr>
      </w:pPr>
      <w:r w:rsidRPr="00CB09E1">
        <w:rPr>
          <w:rFonts w:ascii="Century Gothic" w:hAnsi="Century Gothic"/>
          <w:b/>
        </w:rPr>
        <w:t xml:space="preserve"> </w:t>
      </w:r>
      <w:r w:rsidR="00C36B06" w:rsidRPr="00CB09E1">
        <w:rPr>
          <w:rFonts w:ascii="Century Gothic" w:hAnsi="Century Gothic"/>
          <w:b/>
        </w:rPr>
        <w:t>Payments</w:t>
      </w:r>
      <w:r w:rsidR="00CB09E1">
        <w:rPr>
          <w:rFonts w:ascii="Century Gothic" w:hAnsi="Century Gothic"/>
          <w:b/>
        </w:rPr>
        <w:br/>
      </w:r>
      <w:r w:rsidR="00CB09E1">
        <w:rPr>
          <w:rFonts w:ascii="Century Gothic" w:hAnsi="Century Gothic"/>
          <w:b/>
        </w:rPr>
        <w:br/>
      </w:r>
      <w:r w:rsidR="00C94EB0" w:rsidRPr="00CB09E1">
        <w:rPr>
          <w:rFonts w:ascii="Century Gothic" w:hAnsi="Century Gothic"/>
        </w:rPr>
        <w:t xml:space="preserve">Fees are due at the start of each course. Fees can be paid: </w:t>
      </w:r>
    </w:p>
    <w:p w14:paraId="352D9694" w14:textId="1B9CFF49" w:rsidR="00C94EB0" w:rsidRDefault="00C94EB0" w:rsidP="00245CA8">
      <w:pPr>
        <w:numPr>
          <w:ilvl w:val="0"/>
          <w:numId w:val="32"/>
        </w:numPr>
        <w:ind w:left="1134" w:hanging="283"/>
        <w:jc w:val="left"/>
        <w:rPr>
          <w:rFonts w:ascii="Century Gothic" w:hAnsi="Century Gothic"/>
        </w:rPr>
      </w:pPr>
      <w:r>
        <w:rPr>
          <w:rFonts w:ascii="Century Gothic" w:hAnsi="Century Gothic"/>
        </w:rPr>
        <w:t>I</w:t>
      </w:r>
      <w:r w:rsidRPr="00C94EB0">
        <w:rPr>
          <w:rFonts w:ascii="Century Gothic" w:hAnsi="Century Gothic"/>
        </w:rPr>
        <w:t>n full at enrolment</w:t>
      </w:r>
    </w:p>
    <w:p w14:paraId="30F68994" w14:textId="6B41D9CA" w:rsidR="00C94EB0" w:rsidRPr="00C94EB0" w:rsidRDefault="00C94EB0" w:rsidP="00245CA8">
      <w:pPr>
        <w:numPr>
          <w:ilvl w:val="0"/>
          <w:numId w:val="32"/>
        </w:numPr>
        <w:ind w:left="1134" w:hanging="283"/>
        <w:jc w:val="left"/>
        <w:rPr>
          <w:rFonts w:ascii="Century Gothic" w:hAnsi="Century Gothic"/>
        </w:rPr>
      </w:pPr>
      <w:r>
        <w:rPr>
          <w:rFonts w:ascii="Century Gothic" w:hAnsi="Century Gothic"/>
        </w:rPr>
        <w:t>I</w:t>
      </w:r>
      <w:r w:rsidRPr="00C94EB0">
        <w:rPr>
          <w:rFonts w:ascii="Century Gothic" w:hAnsi="Century Gothic"/>
        </w:rPr>
        <w:t xml:space="preserve">n three equal instalments over </w:t>
      </w:r>
      <w:r w:rsidR="005C7A8A">
        <w:rPr>
          <w:rFonts w:ascii="Century Gothic" w:hAnsi="Century Gothic"/>
        </w:rPr>
        <w:t>the length of the course</w:t>
      </w:r>
    </w:p>
    <w:p w14:paraId="705814F6" w14:textId="5B0AA14F" w:rsidR="00CB09E1" w:rsidRDefault="00C94EB0" w:rsidP="00245CA8">
      <w:pPr>
        <w:numPr>
          <w:ilvl w:val="0"/>
          <w:numId w:val="32"/>
        </w:numPr>
        <w:ind w:left="1134" w:hanging="283"/>
        <w:jc w:val="left"/>
        <w:rPr>
          <w:rFonts w:ascii="Century Gothic" w:hAnsi="Century Gothic"/>
        </w:rPr>
      </w:pPr>
      <w:r w:rsidRPr="00C94EB0">
        <w:rPr>
          <w:rFonts w:ascii="Century Gothic" w:hAnsi="Century Gothic"/>
        </w:rPr>
        <w:t xml:space="preserve">If your employer is paying for your </w:t>
      </w:r>
      <w:r w:rsidR="005C7038" w:rsidRPr="00C94EB0">
        <w:rPr>
          <w:rFonts w:ascii="Century Gothic" w:hAnsi="Century Gothic"/>
        </w:rPr>
        <w:t>course,</w:t>
      </w:r>
      <w:r w:rsidRPr="00C94EB0">
        <w:rPr>
          <w:rFonts w:ascii="Century Gothic" w:hAnsi="Century Gothic"/>
        </w:rPr>
        <w:t xml:space="preserve"> you must provide a letter of confirmation on letter-headed paper from your </w:t>
      </w:r>
      <w:proofErr w:type="gramStart"/>
      <w:r w:rsidRPr="00C94EB0">
        <w:rPr>
          <w:rFonts w:ascii="Century Gothic" w:hAnsi="Century Gothic"/>
        </w:rPr>
        <w:t>employer</w:t>
      </w:r>
      <w:proofErr w:type="gramEnd"/>
    </w:p>
    <w:p w14:paraId="523FCEC7" w14:textId="105036EE" w:rsidR="00937F51" w:rsidRPr="00CB09E1" w:rsidRDefault="00937F51" w:rsidP="00245CA8">
      <w:pPr>
        <w:ind w:left="851"/>
        <w:jc w:val="left"/>
        <w:rPr>
          <w:rFonts w:ascii="Century Gothic" w:hAnsi="Century Gothic"/>
        </w:rPr>
      </w:pPr>
      <w:r w:rsidRPr="00CB09E1">
        <w:rPr>
          <w:rFonts w:ascii="Century Gothic" w:hAnsi="Century Gothic"/>
        </w:rPr>
        <w:t>Learners will be asked to sign a disclaimer stating that if they do not attend an exam for which they have agreed to be entered they may be charged the entry fee.</w:t>
      </w:r>
    </w:p>
    <w:p w14:paraId="74EC8A85" w14:textId="77777777" w:rsidR="00937F51" w:rsidRPr="00937F51" w:rsidRDefault="00937F51" w:rsidP="00245CA8">
      <w:pPr>
        <w:jc w:val="left"/>
        <w:rPr>
          <w:rFonts w:ascii="Century Gothic" w:hAnsi="Century Gothic"/>
        </w:rPr>
      </w:pPr>
      <w:r w:rsidRPr="00937F51">
        <w:rPr>
          <w:rFonts w:ascii="Century Gothic" w:hAnsi="Century Gothic"/>
        </w:rPr>
        <w:t xml:space="preserve">       </w:t>
      </w:r>
    </w:p>
    <w:sectPr w:rsidR="00937F51" w:rsidRPr="00937F51" w:rsidSect="00D22A3C">
      <w:pgSz w:w="11907" w:h="16840" w:code="9"/>
      <w:pgMar w:top="141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CCFA" w14:textId="77777777" w:rsidR="00BE769A" w:rsidRDefault="00BE769A">
      <w:r>
        <w:separator/>
      </w:r>
    </w:p>
  </w:endnote>
  <w:endnote w:type="continuationSeparator" w:id="0">
    <w:p w14:paraId="015CA240" w14:textId="77777777" w:rsidR="00BE769A" w:rsidRDefault="00BE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29882"/>
      <w:docPartObj>
        <w:docPartGallery w:val="Page Numbers (Bottom of Page)"/>
        <w:docPartUnique/>
      </w:docPartObj>
    </w:sdtPr>
    <w:sdtEndPr>
      <w:rPr>
        <w:noProof/>
      </w:rPr>
    </w:sdtEndPr>
    <w:sdtContent>
      <w:p w14:paraId="7EADD63B" w14:textId="27D55BD3" w:rsidR="003C1765" w:rsidRDefault="003C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BAD11" w14:textId="11B9CC68" w:rsidR="00113DCF" w:rsidRPr="00296CCD" w:rsidRDefault="00093F0F" w:rsidP="00296CCD">
    <w:pPr>
      <w:pStyle w:val="Footer"/>
    </w:pPr>
    <w:r w:rsidRPr="00093F0F">
      <w:t>POL003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B9F1" w14:textId="23B55FE1" w:rsidR="00113DCF" w:rsidRPr="00093F0F" w:rsidRDefault="00093F0F" w:rsidP="00D22A3C">
    <w:pPr>
      <w:pStyle w:val="Footer"/>
      <w:spacing w:before="0"/>
    </w:pPr>
    <w:r w:rsidRPr="00093F0F">
      <w:t>POL003</w:t>
    </w:r>
    <w:r w:rsidR="00113DCF" w:rsidRPr="00093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1181" w14:textId="77777777" w:rsidR="00BE769A" w:rsidRDefault="00BE769A">
      <w:r>
        <w:separator/>
      </w:r>
    </w:p>
  </w:footnote>
  <w:footnote w:type="continuationSeparator" w:id="0">
    <w:p w14:paraId="1DAA6A1A" w14:textId="77777777" w:rsidR="00BE769A" w:rsidRDefault="00BE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39BD" w14:textId="77777777" w:rsidR="008B7D19" w:rsidRPr="00F65F4D" w:rsidRDefault="008B7D19" w:rsidP="008B7D19">
    <w:pPr>
      <w:tabs>
        <w:tab w:val="center" w:pos="4513"/>
        <w:tab w:val="right" w:pos="9026"/>
      </w:tabs>
      <w:spacing w:before="0" w:after="0"/>
      <w:jc w:val="left"/>
      <w:rPr>
        <w:rFonts w:asciiTheme="minorHAnsi" w:hAnsiTheme="minorHAnsi"/>
        <w:sz w:val="22"/>
        <w:szCs w:val="22"/>
      </w:rPr>
    </w:pPr>
  </w:p>
  <w:p w14:paraId="63231E0C" w14:textId="62FC0ACA" w:rsidR="005F6976" w:rsidRDefault="005F6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30E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BF9"/>
    <w:multiLevelType w:val="hybridMultilevel"/>
    <w:tmpl w:val="A24E25D6"/>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804119"/>
    <w:multiLevelType w:val="hybridMultilevel"/>
    <w:tmpl w:val="1A5CA1FC"/>
    <w:lvl w:ilvl="0" w:tplc="08090001">
      <w:start w:val="1"/>
      <w:numFmt w:val="bullet"/>
      <w:lvlText w:val=""/>
      <w:lvlJc w:val="left"/>
      <w:pPr>
        <w:tabs>
          <w:tab w:val="num" w:pos="1500"/>
        </w:tabs>
        <w:ind w:left="1500" w:hanging="360"/>
      </w:pPr>
      <w:rPr>
        <w:rFonts w:ascii="Symbol" w:hAnsi="Symbol" w:hint="default"/>
      </w:rPr>
    </w:lvl>
    <w:lvl w:ilvl="1" w:tplc="08090001">
      <w:start w:val="1"/>
      <w:numFmt w:val="bullet"/>
      <w:lvlText w:val=""/>
      <w:lvlJc w:val="left"/>
      <w:pPr>
        <w:tabs>
          <w:tab w:val="num" w:pos="1980"/>
        </w:tabs>
        <w:ind w:left="1980" w:hanging="360"/>
      </w:pPr>
      <w:rPr>
        <w:rFonts w:ascii="Symbol" w:hAnsi="Symbol"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1B416D6"/>
    <w:multiLevelType w:val="hybridMultilevel"/>
    <w:tmpl w:val="76283C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1B636E"/>
    <w:multiLevelType w:val="hybridMultilevel"/>
    <w:tmpl w:val="4274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00F30"/>
    <w:multiLevelType w:val="hybridMultilevel"/>
    <w:tmpl w:val="96888218"/>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87CB5"/>
    <w:multiLevelType w:val="hybridMultilevel"/>
    <w:tmpl w:val="026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11395"/>
    <w:multiLevelType w:val="hybridMultilevel"/>
    <w:tmpl w:val="BBD43E42"/>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82EE0"/>
    <w:multiLevelType w:val="hybridMultilevel"/>
    <w:tmpl w:val="80E09532"/>
    <w:lvl w:ilvl="0" w:tplc="1C02CDA4">
      <w:start w:val="1"/>
      <w:numFmt w:val="bullet"/>
      <w:pStyle w:val="ListBullet"/>
      <w:lvlText w:val=""/>
      <w:lvlJc w:val="left"/>
      <w:pPr>
        <w:tabs>
          <w:tab w:val="num" w:pos="774"/>
        </w:tabs>
        <w:ind w:left="0" w:firstLine="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459E7"/>
    <w:multiLevelType w:val="hybridMultilevel"/>
    <w:tmpl w:val="8286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70865"/>
    <w:multiLevelType w:val="hybridMultilevel"/>
    <w:tmpl w:val="909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92785"/>
    <w:multiLevelType w:val="hybridMultilevel"/>
    <w:tmpl w:val="8D02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D03B6"/>
    <w:multiLevelType w:val="hybridMultilevel"/>
    <w:tmpl w:val="10DC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B081C"/>
    <w:multiLevelType w:val="hybridMultilevel"/>
    <w:tmpl w:val="4FA6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85293A"/>
    <w:multiLevelType w:val="hybridMultilevel"/>
    <w:tmpl w:val="2844440E"/>
    <w:lvl w:ilvl="0" w:tplc="AFCC99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2E732B"/>
    <w:multiLevelType w:val="hybridMultilevel"/>
    <w:tmpl w:val="EC6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11F29"/>
    <w:multiLevelType w:val="hybridMultilevel"/>
    <w:tmpl w:val="109C952E"/>
    <w:lvl w:ilvl="0" w:tplc="9C5C040A">
      <w:numFmt w:val="none"/>
      <w:lvlText w:val=""/>
      <w:lvlJc w:val="left"/>
      <w:pPr>
        <w:tabs>
          <w:tab w:val="num" w:pos="360"/>
        </w:tabs>
      </w:pPr>
    </w:lvl>
    <w:lvl w:ilvl="1" w:tplc="2B62CB92">
      <w:start w:val="5"/>
      <w:numFmt w:val="bullet"/>
      <w:lvlText w:val="-"/>
      <w:lvlJc w:val="left"/>
      <w:pPr>
        <w:tabs>
          <w:tab w:val="num" w:pos="1500"/>
        </w:tabs>
        <w:ind w:left="1500" w:hanging="360"/>
      </w:pPr>
      <w:rPr>
        <w:rFonts w:ascii="Arial" w:eastAsia="Times New Roman" w:hAnsi="Arial" w:cs="Arial" w:hint="default"/>
      </w:rPr>
    </w:lvl>
    <w:lvl w:ilvl="2" w:tplc="1618EA64">
      <w:start w:val="1"/>
      <w:numFmt w:val="bullet"/>
      <w:lvlText w:val=""/>
      <w:lvlJc w:val="left"/>
      <w:pPr>
        <w:tabs>
          <w:tab w:val="num" w:pos="2220"/>
        </w:tabs>
        <w:ind w:left="2220" w:hanging="360"/>
      </w:pPr>
      <w:rPr>
        <w:rFonts w:ascii="Symbol" w:hAnsi="Symbol" w:hint="default"/>
      </w:rPr>
    </w:lvl>
    <w:lvl w:ilvl="3" w:tplc="9A12224C" w:tentative="1">
      <w:start w:val="1"/>
      <w:numFmt w:val="bullet"/>
      <w:lvlText w:val=""/>
      <w:lvlJc w:val="left"/>
      <w:pPr>
        <w:tabs>
          <w:tab w:val="num" w:pos="2940"/>
        </w:tabs>
        <w:ind w:left="2940" w:hanging="360"/>
      </w:pPr>
      <w:rPr>
        <w:rFonts w:ascii="Symbol" w:hAnsi="Symbol" w:hint="default"/>
      </w:rPr>
    </w:lvl>
    <w:lvl w:ilvl="4" w:tplc="3ADA4E14" w:tentative="1">
      <w:start w:val="1"/>
      <w:numFmt w:val="bullet"/>
      <w:lvlText w:val="o"/>
      <w:lvlJc w:val="left"/>
      <w:pPr>
        <w:tabs>
          <w:tab w:val="num" w:pos="3660"/>
        </w:tabs>
        <w:ind w:left="3660" w:hanging="360"/>
      </w:pPr>
      <w:rPr>
        <w:rFonts w:ascii="Courier New" w:hAnsi="Courier New" w:cs="Courier New" w:hint="default"/>
      </w:rPr>
    </w:lvl>
    <w:lvl w:ilvl="5" w:tplc="EDBCCE96" w:tentative="1">
      <w:start w:val="1"/>
      <w:numFmt w:val="bullet"/>
      <w:lvlText w:val=""/>
      <w:lvlJc w:val="left"/>
      <w:pPr>
        <w:tabs>
          <w:tab w:val="num" w:pos="4380"/>
        </w:tabs>
        <w:ind w:left="4380" w:hanging="360"/>
      </w:pPr>
      <w:rPr>
        <w:rFonts w:ascii="Wingdings" w:hAnsi="Wingdings" w:hint="default"/>
      </w:rPr>
    </w:lvl>
    <w:lvl w:ilvl="6" w:tplc="DBB2FBE4" w:tentative="1">
      <w:start w:val="1"/>
      <w:numFmt w:val="bullet"/>
      <w:lvlText w:val=""/>
      <w:lvlJc w:val="left"/>
      <w:pPr>
        <w:tabs>
          <w:tab w:val="num" w:pos="5100"/>
        </w:tabs>
        <w:ind w:left="5100" w:hanging="360"/>
      </w:pPr>
      <w:rPr>
        <w:rFonts w:ascii="Symbol" w:hAnsi="Symbol" w:hint="default"/>
      </w:rPr>
    </w:lvl>
    <w:lvl w:ilvl="7" w:tplc="EEF26360" w:tentative="1">
      <w:start w:val="1"/>
      <w:numFmt w:val="bullet"/>
      <w:lvlText w:val="o"/>
      <w:lvlJc w:val="left"/>
      <w:pPr>
        <w:tabs>
          <w:tab w:val="num" w:pos="5820"/>
        </w:tabs>
        <w:ind w:left="5820" w:hanging="360"/>
      </w:pPr>
      <w:rPr>
        <w:rFonts w:ascii="Courier New" w:hAnsi="Courier New" w:cs="Courier New" w:hint="default"/>
      </w:rPr>
    </w:lvl>
    <w:lvl w:ilvl="8" w:tplc="D9DAFBAC"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33279D6"/>
    <w:multiLevelType w:val="hybridMultilevel"/>
    <w:tmpl w:val="A874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810536"/>
    <w:multiLevelType w:val="hybridMultilevel"/>
    <w:tmpl w:val="152C8A2C"/>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ACC00C6"/>
    <w:multiLevelType w:val="hybridMultilevel"/>
    <w:tmpl w:val="A4909560"/>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63217"/>
    <w:multiLevelType w:val="hybridMultilevel"/>
    <w:tmpl w:val="B32A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455FA1"/>
    <w:multiLevelType w:val="multilevel"/>
    <w:tmpl w:val="FDE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623403"/>
    <w:multiLevelType w:val="hybridMultilevel"/>
    <w:tmpl w:val="15C8E200"/>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BF6C9D"/>
    <w:multiLevelType w:val="hybridMultilevel"/>
    <w:tmpl w:val="FDBCA17A"/>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4403CD"/>
    <w:multiLevelType w:val="hybridMultilevel"/>
    <w:tmpl w:val="1B1A36E8"/>
    <w:lvl w:ilvl="0" w:tplc="A4165BBA">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E19C6"/>
    <w:multiLevelType w:val="hybridMultilevel"/>
    <w:tmpl w:val="0D6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2002C"/>
    <w:multiLevelType w:val="hybridMultilevel"/>
    <w:tmpl w:val="1FA6A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71524"/>
    <w:multiLevelType w:val="hybridMultilevel"/>
    <w:tmpl w:val="57E8F344"/>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EB4277"/>
    <w:multiLevelType w:val="hybridMultilevel"/>
    <w:tmpl w:val="C7F4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628A7"/>
    <w:multiLevelType w:val="hybridMultilevel"/>
    <w:tmpl w:val="730A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F14AB"/>
    <w:multiLevelType w:val="hybridMultilevel"/>
    <w:tmpl w:val="1F1E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82AD1"/>
    <w:multiLevelType w:val="hybridMultilevel"/>
    <w:tmpl w:val="C418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506CA"/>
    <w:multiLevelType w:val="hybridMultilevel"/>
    <w:tmpl w:val="C3ECD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04936"/>
    <w:multiLevelType w:val="hybridMultilevel"/>
    <w:tmpl w:val="CF8535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CC443D"/>
    <w:multiLevelType w:val="hybridMultilevel"/>
    <w:tmpl w:val="529ED6F4"/>
    <w:lvl w:ilvl="0" w:tplc="08090009">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6D1A57E7"/>
    <w:multiLevelType w:val="hybridMultilevel"/>
    <w:tmpl w:val="EC5E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D33AE"/>
    <w:multiLevelType w:val="hybridMultilevel"/>
    <w:tmpl w:val="BE64830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D8D07BB"/>
    <w:multiLevelType w:val="hybridMultilevel"/>
    <w:tmpl w:val="A598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213C4"/>
    <w:multiLevelType w:val="hybridMultilevel"/>
    <w:tmpl w:val="6EA89572"/>
    <w:lvl w:ilvl="0" w:tplc="866C64F0">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375A8B"/>
    <w:multiLevelType w:val="hybridMultilevel"/>
    <w:tmpl w:val="AF3E87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834B1F"/>
    <w:multiLevelType w:val="hybridMultilevel"/>
    <w:tmpl w:val="61C4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B6A8F"/>
    <w:multiLevelType w:val="hybridMultilevel"/>
    <w:tmpl w:val="649A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5760E"/>
    <w:multiLevelType w:val="multilevel"/>
    <w:tmpl w:val="3624958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E7E72E2"/>
    <w:multiLevelType w:val="hybridMultilevel"/>
    <w:tmpl w:val="2A486724"/>
    <w:lvl w:ilvl="0" w:tplc="889A0E26">
      <w:start w:val="1"/>
      <w:numFmt w:val="bullet"/>
      <w:pStyle w:val="BulletedList"/>
      <w:lvlText w:val=""/>
      <w:lvlJc w:val="left"/>
      <w:pPr>
        <w:ind w:left="360" w:hanging="360"/>
      </w:pPr>
      <w:rPr>
        <w:rFonts w:ascii="Symbol" w:hAnsi="Symbol" w:hint="default"/>
        <w:color w:val="D2005A"/>
      </w:rPr>
    </w:lvl>
    <w:lvl w:ilvl="1" w:tplc="470A9EA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36FCE"/>
    <w:multiLevelType w:val="hybridMultilevel"/>
    <w:tmpl w:val="08BA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A7A3A"/>
    <w:multiLevelType w:val="hybridMultilevel"/>
    <w:tmpl w:val="980689F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308095115">
    <w:abstractNumId w:val="42"/>
  </w:num>
  <w:num w:numId="2" w16cid:durableId="1813869064">
    <w:abstractNumId w:val="8"/>
  </w:num>
  <w:num w:numId="3" w16cid:durableId="1634630070">
    <w:abstractNumId w:val="43"/>
  </w:num>
  <w:num w:numId="4" w16cid:durableId="1040319946">
    <w:abstractNumId w:val="16"/>
  </w:num>
  <w:num w:numId="5" w16cid:durableId="863247320">
    <w:abstractNumId w:val="45"/>
  </w:num>
  <w:num w:numId="6" w16cid:durableId="1419131231">
    <w:abstractNumId w:val="36"/>
  </w:num>
  <w:num w:numId="7" w16cid:durableId="641544212">
    <w:abstractNumId w:val="3"/>
  </w:num>
  <w:num w:numId="8" w16cid:durableId="921914180">
    <w:abstractNumId w:val="2"/>
  </w:num>
  <w:num w:numId="9" w16cid:durableId="470706596">
    <w:abstractNumId w:val="39"/>
  </w:num>
  <w:num w:numId="10" w16cid:durableId="486869143">
    <w:abstractNumId w:val="32"/>
  </w:num>
  <w:num w:numId="11" w16cid:durableId="359478765">
    <w:abstractNumId w:val="4"/>
  </w:num>
  <w:num w:numId="12" w16cid:durableId="1062828561">
    <w:abstractNumId w:val="15"/>
  </w:num>
  <w:num w:numId="13" w16cid:durableId="983461902">
    <w:abstractNumId w:val="18"/>
  </w:num>
  <w:num w:numId="14" w16cid:durableId="272177559">
    <w:abstractNumId w:val="6"/>
  </w:num>
  <w:num w:numId="15" w16cid:durableId="302121212">
    <w:abstractNumId w:val="40"/>
  </w:num>
  <w:num w:numId="16" w16cid:durableId="1500004535">
    <w:abstractNumId w:val="27"/>
  </w:num>
  <w:num w:numId="17" w16cid:durableId="384597955">
    <w:abstractNumId w:val="17"/>
  </w:num>
  <w:num w:numId="18" w16cid:durableId="242027457">
    <w:abstractNumId w:val="1"/>
  </w:num>
  <w:num w:numId="19" w16cid:durableId="1195191924">
    <w:abstractNumId w:val="44"/>
  </w:num>
  <w:num w:numId="20" w16cid:durableId="973292425">
    <w:abstractNumId w:val="23"/>
  </w:num>
  <w:num w:numId="21" w16cid:durableId="21366172">
    <w:abstractNumId w:val="28"/>
  </w:num>
  <w:num w:numId="22" w16cid:durableId="648635206">
    <w:abstractNumId w:val="29"/>
  </w:num>
  <w:num w:numId="23" w16cid:durableId="1260220147">
    <w:abstractNumId w:val="12"/>
  </w:num>
  <w:num w:numId="24" w16cid:durableId="1171329882">
    <w:abstractNumId w:val="34"/>
  </w:num>
  <w:num w:numId="25" w16cid:durableId="1721516967">
    <w:abstractNumId w:val="41"/>
  </w:num>
  <w:num w:numId="26" w16cid:durableId="2122454876">
    <w:abstractNumId w:val="0"/>
  </w:num>
  <w:num w:numId="27" w16cid:durableId="84888113">
    <w:abstractNumId w:val="25"/>
  </w:num>
  <w:num w:numId="28" w16cid:durableId="1210340703">
    <w:abstractNumId w:val="37"/>
  </w:num>
  <w:num w:numId="29" w16cid:durableId="114638868">
    <w:abstractNumId w:val="10"/>
  </w:num>
  <w:num w:numId="30" w16cid:durableId="383481402">
    <w:abstractNumId w:val="9"/>
  </w:num>
  <w:num w:numId="31" w16cid:durableId="70204179">
    <w:abstractNumId w:val="30"/>
  </w:num>
  <w:num w:numId="32" w16cid:durableId="969674355">
    <w:abstractNumId w:val="11"/>
  </w:num>
  <w:num w:numId="33" w16cid:durableId="780613890">
    <w:abstractNumId w:val="26"/>
  </w:num>
  <w:num w:numId="34" w16cid:durableId="1341811036">
    <w:abstractNumId w:val="31"/>
  </w:num>
  <w:num w:numId="35" w16cid:durableId="1224486681">
    <w:abstractNumId w:val="38"/>
  </w:num>
  <w:num w:numId="36" w16cid:durableId="1450658362">
    <w:abstractNumId w:val="33"/>
  </w:num>
  <w:num w:numId="37" w16cid:durableId="121264506">
    <w:abstractNumId w:val="13"/>
  </w:num>
  <w:num w:numId="38" w16cid:durableId="1964264603">
    <w:abstractNumId w:val="20"/>
  </w:num>
  <w:num w:numId="39" w16cid:durableId="1887989039">
    <w:abstractNumId w:val="5"/>
  </w:num>
  <w:num w:numId="40" w16cid:durableId="433984192">
    <w:abstractNumId w:val="35"/>
  </w:num>
  <w:num w:numId="41" w16cid:durableId="244536200">
    <w:abstractNumId w:val="7"/>
  </w:num>
  <w:num w:numId="42" w16cid:durableId="1378815000">
    <w:abstractNumId w:val="19"/>
  </w:num>
  <w:num w:numId="43" w16cid:durableId="1863396975">
    <w:abstractNumId w:val="22"/>
  </w:num>
  <w:num w:numId="44" w16cid:durableId="917323472">
    <w:abstractNumId w:val="24"/>
  </w:num>
  <w:num w:numId="45" w16cid:durableId="878735823">
    <w:abstractNumId w:val="14"/>
  </w:num>
  <w:num w:numId="46" w16cid:durableId="77221170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ED"/>
    <w:rsid w:val="00011203"/>
    <w:rsid w:val="00017648"/>
    <w:rsid w:val="00023323"/>
    <w:rsid w:val="00033FE6"/>
    <w:rsid w:val="00042B83"/>
    <w:rsid w:val="00045050"/>
    <w:rsid w:val="000468AE"/>
    <w:rsid w:val="00050421"/>
    <w:rsid w:val="000511B4"/>
    <w:rsid w:val="000640C6"/>
    <w:rsid w:val="00064DBE"/>
    <w:rsid w:val="00067238"/>
    <w:rsid w:val="00070573"/>
    <w:rsid w:val="000711AF"/>
    <w:rsid w:val="0008300A"/>
    <w:rsid w:val="0008539D"/>
    <w:rsid w:val="00085FC3"/>
    <w:rsid w:val="00086056"/>
    <w:rsid w:val="000866B3"/>
    <w:rsid w:val="00092B9A"/>
    <w:rsid w:val="00093F0F"/>
    <w:rsid w:val="000A59BB"/>
    <w:rsid w:val="000B787D"/>
    <w:rsid w:val="000C1AE7"/>
    <w:rsid w:val="000C677A"/>
    <w:rsid w:val="000D15EC"/>
    <w:rsid w:val="000D1C4A"/>
    <w:rsid w:val="000E7AF6"/>
    <w:rsid w:val="000F33CF"/>
    <w:rsid w:val="001043BF"/>
    <w:rsid w:val="00110A8E"/>
    <w:rsid w:val="00111C10"/>
    <w:rsid w:val="00113DCF"/>
    <w:rsid w:val="00124409"/>
    <w:rsid w:val="001265C7"/>
    <w:rsid w:val="0013120A"/>
    <w:rsid w:val="00131D8B"/>
    <w:rsid w:val="00132927"/>
    <w:rsid w:val="00141FBC"/>
    <w:rsid w:val="00156821"/>
    <w:rsid w:val="00160771"/>
    <w:rsid w:val="0016188F"/>
    <w:rsid w:val="0016608C"/>
    <w:rsid w:val="001727B9"/>
    <w:rsid w:val="00173174"/>
    <w:rsid w:val="00180BE1"/>
    <w:rsid w:val="00184D55"/>
    <w:rsid w:val="00185032"/>
    <w:rsid w:val="001903AF"/>
    <w:rsid w:val="00192319"/>
    <w:rsid w:val="001930A9"/>
    <w:rsid w:val="00193674"/>
    <w:rsid w:val="00195E39"/>
    <w:rsid w:val="001A4186"/>
    <w:rsid w:val="001B138E"/>
    <w:rsid w:val="001B3C04"/>
    <w:rsid w:val="001B3F02"/>
    <w:rsid w:val="001B4598"/>
    <w:rsid w:val="001B5C4C"/>
    <w:rsid w:val="001B6632"/>
    <w:rsid w:val="001C2180"/>
    <w:rsid w:val="001C6FD3"/>
    <w:rsid w:val="001D382E"/>
    <w:rsid w:val="001E70EB"/>
    <w:rsid w:val="001F503D"/>
    <w:rsid w:val="001F5185"/>
    <w:rsid w:val="0020366B"/>
    <w:rsid w:val="0020434E"/>
    <w:rsid w:val="00205421"/>
    <w:rsid w:val="00212AA7"/>
    <w:rsid w:val="00221AD6"/>
    <w:rsid w:val="00221C25"/>
    <w:rsid w:val="00225A6C"/>
    <w:rsid w:val="00227D32"/>
    <w:rsid w:val="002319D9"/>
    <w:rsid w:val="002333C2"/>
    <w:rsid w:val="00245CA8"/>
    <w:rsid w:val="00250880"/>
    <w:rsid w:val="00251F68"/>
    <w:rsid w:val="002771E0"/>
    <w:rsid w:val="0028006D"/>
    <w:rsid w:val="0029016C"/>
    <w:rsid w:val="002908D3"/>
    <w:rsid w:val="00296CCD"/>
    <w:rsid w:val="00296FB3"/>
    <w:rsid w:val="002A1142"/>
    <w:rsid w:val="002A5433"/>
    <w:rsid w:val="002A67FB"/>
    <w:rsid w:val="002A6BF3"/>
    <w:rsid w:val="002A7126"/>
    <w:rsid w:val="002D109C"/>
    <w:rsid w:val="002D46C1"/>
    <w:rsid w:val="002D5927"/>
    <w:rsid w:val="002D716C"/>
    <w:rsid w:val="002E67CB"/>
    <w:rsid w:val="002E7273"/>
    <w:rsid w:val="002F1F27"/>
    <w:rsid w:val="002F3E70"/>
    <w:rsid w:val="002F5A6F"/>
    <w:rsid w:val="002F64E6"/>
    <w:rsid w:val="00301324"/>
    <w:rsid w:val="00307A1B"/>
    <w:rsid w:val="00307C18"/>
    <w:rsid w:val="00311817"/>
    <w:rsid w:val="00326D8F"/>
    <w:rsid w:val="00326FED"/>
    <w:rsid w:val="00331A68"/>
    <w:rsid w:val="00340437"/>
    <w:rsid w:val="0035002E"/>
    <w:rsid w:val="00350FF4"/>
    <w:rsid w:val="00355811"/>
    <w:rsid w:val="00362B23"/>
    <w:rsid w:val="00373554"/>
    <w:rsid w:val="00374B4E"/>
    <w:rsid w:val="00381C9C"/>
    <w:rsid w:val="003A10BB"/>
    <w:rsid w:val="003B5AAA"/>
    <w:rsid w:val="003C1765"/>
    <w:rsid w:val="003C4D91"/>
    <w:rsid w:val="003D1D20"/>
    <w:rsid w:val="003D4F42"/>
    <w:rsid w:val="003D6212"/>
    <w:rsid w:val="003D64BE"/>
    <w:rsid w:val="003F2F67"/>
    <w:rsid w:val="003F7BF4"/>
    <w:rsid w:val="00402749"/>
    <w:rsid w:val="00405453"/>
    <w:rsid w:val="00405BC4"/>
    <w:rsid w:val="0041282E"/>
    <w:rsid w:val="00412B7D"/>
    <w:rsid w:val="00416C92"/>
    <w:rsid w:val="00420996"/>
    <w:rsid w:val="00420EB0"/>
    <w:rsid w:val="0042774C"/>
    <w:rsid w:val="00443E62"/>
    <w:rsid w:val="00453F20"/>
    <w:rsid w:val="00456CA5"/>
    <w:rsid w:val="004617C4"/>
    <w:rsid w:val="004A1108"/>
    <w:rsid w:val="004A672A"/>
    <w:rsid w:val="004B13C9"/>
    <w:rsid w:val="004C5684"/>
    <w:rsid w:val="004E35B3"/>
    <w:rsid w:val="004F4D21"/>
    <w:rsid w:val="004F55BB"/>
    <w:rsid w:val="0050209E"/>
    <w:rsid w:val="00521600"/>
    <w:rsid w:val="005413B0"/>
    <w:rsid w:val="00541892"/>
    <w:rsid w:val="00555547"/>
    <w:rsid w:val="0056328D"/>
    <w:rsid w:val="0056387A"/>
    <w:rsid w:val="005648E1"/>
    <w:rsid w:val="00565742"/>
    <w:rsid w:val="00572287"/>
    <w:rsid w:val="00573300"/>
    <w:rsid w:val="005752A9"/>
    <w:rsid w:val="00583E8E"/>
    <w:rsid w:val="00587924"/>
    <w:rsid w:val="00593C51"/>
    <w:rsid w:val="00597F2A"/>
    <w:rsid w:val="005B37B8"/>
    <w:rsid w:val="005C176A"/>
    <w:rsid w:val="005C7038"/>
    <w:rsid w:val="005C7A8A"/>
    <w:rsid w:val="005D6C1B"/>
    <w:rsid w:val="005F2E10"/>
    <w:rsid w:val="005F6976"/>
    <w:rsid w:val="00605FD6"/>
    <w:rsid w:val="00635BB8"/>
    <w:rsid w:val="0065001C"/>
    <w:rsid w:val="00652750"/>
    <w:rsid w:val="006529AD"/>
    <w:rsid w:val="00656D92"/>
    <w:rsid w:val="00681A83"/>
    <w:rsid w:val="0069218B"/>
    <w:rsid w:val="006A1E28"/>
    <w:rsid w:val="006A52B2"/>
    <w:rsid w:val="006B0023"/>
    <w:rsid w:val="006B37F6"/>
    <w:rsid w:val="006B54E7"/>
    <w:rsid w:val="006B6674"/>
    <w:rsid w:val="006C0B09"/>
    <w:rsid w:val="006C319A"/>
    <w:rsid w:val="006D04B1"/>
    <w:rsid w:val="006D432A"/>
    <w:rsid w:val="006D5C0C"/>
    <w:rsid w:val="006E43A7"/>
    <w:rsid w:val="006E7F79"/>
    <w:rsid w:val="006F0F25"/>
    <w:rsid w:val="006F6351"/>
    <w:rsid w:val="006F647B"/>
    <w:rsid w:val="00706C72"/>
    <w:rsid w:val="0070736E"/>
    <w:rsid w:val="0071088B"/>
    <w:rsid w:val="00710D73"/>
    <w:rsid w:val="00711AB3"/>
    <w:rsid w:val="007207A3"/>
    <w:rsid w:val="007247CA"/>
    <w:rsid w:val="007324A6"/>
    <w:rsid w:val="0074120A"/>
    <w:rsid w:val="0074227B"/>
    <w:rsid w:val="00747BA5"/>
    <w:rsid w:val="007550BC"/>
    <w:rsid w:val="0075749C"/>
    <w:rsid w:val="00761C31"/>
    <w:rsid w:val="00770776"/>
    <w:rsid w:val="0078454C"/>
    <w:rsid w:val="0079068B"/>
    <w:rsid w:val="007929A9"/>
    <w:rsid w:val="00794300"/>
    <w:rsid w:val="007973CA"/>
    <w:rsid w:val="007A07A5"/>
    <w:rsid w:val="007A4759"/>
    <w:rsid w:val="007A7E01"/>
    <w:rsid w:val="007B4B51"/>
    <w:rsid w:val="007D1FA9"/>
    <w:rsid w:val="007E22A1"/>
    <w:rsid w:val="007E2319"/>
    <w:rsid w:val="007E2FC4"/>
    <w:rsid w:val="007F31C2"/>
    <w:rsid w:val="00804FEC"/>
    <w:rsid w:val="0081301B"/>
    <w:rsid w:val="008312C4"/>
    <w:rsid w:val="00836EC0"/>
    <w:rsid w:val="00836FF1"/>
    <w:rsid w:val="008439AE"/>
    <w:rsid w:val="00845AA8"/>
    <w:rsid w:val="00846384"/>
    <w:rsid w:val="00855A6D"/>
    <w:rsid w:val="00862F7B"/>
    <w:rsid w:val="00864EC7"/>
    <w:rsid w:val="0087192A"/>
    <w:rsid w:val="008769BB"/>
    <w:rsid w:val="00886063"/>
    <w:rsid w:val="00893D13"/>
    <w:rsid w:val="00896B37"/>
    <w:rsid w:val="008A1D17"/>
    <w:rsid w:val="008B0413"/>
    <w:rsid w:val="008B0907"/>
    <w:rsid w:val="008B1851"/>
    <w:rsid w:val="008B2178"/>
    <w:rsid w:val="008B4289"/>
    <w:rsid w:val="008B7D19"/>
    <w:rsid w:val="008C56D0"/>
    <w:rsid w:val="008D36D1"/>
    <w:rsid w:val="008E16FB"/>
    <w:rsid w:val="008E3DAD"/>
    <w:rsid w:val="008F1101"/>
    <w:rsid w:val="008F282A"/>
    <w:rsid w:val="00903296"/>
    <w:rsid w:val="0090573C"/>
    <w:rsid w:val="00905940"/>
    <w:rsid w:val="00913E7D"/>
    <w:rsid w:val="009204DC"/>
    <w:rsid w:val="009246C7"/>
    <w:rsid w:val="00930DF5"/>
    <w:rsid w:val="00934ECE"/>
    <w:rsid w:val="00937C4F"/>
    <w:rsid w:val="00937F51"/>
    <w:rsid w:val="00943A97"/>
    <w:rsid w:val="00945019"/>
    <w:rsid w:val="00946FB0"/>
    <w:rsid w:val="009548BB"/>
    <w:rsid w:val="009627B9"/>
    <w:rsid w:val="00962A10"/>
    <w:rsid w:val="009767AD"/>
    <w:rsid w:val="00990379"/>
    <w:rsid w:val="009A2D9E"/>
    <w:rsid w:val="009C4F74"/>
    <w:rsid w:val="009C64C9"/>
    <w:rsid w:val="009D1357"/>
    <w:rsid w:val="009D1A15"/>
    <w:rsid w:val="009D58D6"/>
    <w:rsid w:val="009E70AB"/>
    <w:rsid w:val="00A00B3D"/>
    <w:rsid w:val="00A00CF6"/>
    <w:rsid w:val="00A040E6"/>
    <w:rsid w:val="00A05A18"/>
    <w:rsid w:val="00A21805"/>
    <w:rsid w:val="00A23909"/>
    <w:rsid w:val="00A33FBF"/>
    <w:rsid w:val="00A41FE4"/>
    <w:rsid w:val="00A60AE5"/>
    <w:rsid w:val="00A83FA6"/>
    <w:rsid w:val="00A86A5A"/>
    <w:rsid w:val="00A86D28"/>
    <w:rsid w:val="00A876C0"/>
    <w:rsid w:val="00A96041"/>
    <w:rsid w:val="00AA0BAA"/>
    <w:rsid w:val="00AC2996"/>
    <w:rsid w:val="00AD01EC"/>
    <w:rsid w:val="00AD5672"/>
    <w:rsid w:val="00AE25E6"/>
    <w:rsid w:val="00AE466B"/>
    <w:rsid w:val="00AF2167"/>
    <w:rsid w:val="00AF5FD2"/>
    <w:rsid w:val="00AF7448"/>
    <w:rsid w:val="00B120B9"/>
    <w:rsid w:val="00B32128"/>
    <w:rsid w:val="00B324AD"/>
    <w:rsid w:val="00B47D61"/>
    <w:rsid w:val="00B50723"/>
    <w:rsid w:val="00B51A5E"/>
    <w:rsid w:val="00B576D8"/>
    <w:rsid w:val="00B615CD"/>
    <w:rsid w:val="00B725D0"/>
    <w:rsid w:val="00B82400"/>
    <w:rsid w:val="00B82539"/>
    <w:rsid w:val="00B8609C"/>
    <w:rsid w:val="00BA292C"/>
    <w:rsid w:val="00BA6D46"/>
    <w:rsid w:val="00BB6ED1"/>
    <w:rsid w:val="00BC04EF"/>
    <w:rsid w:val="00BC22E8"/>
    <w:rsid w:val="00BC274B"/>
    <w:rsid w:val="00BD4484"/>
    <w:rsid w:val="00BD6F32"/>
    <w:rsid w:val="00BE5E71"/>
    <w:rsid w:val="00BE75D9"/>
    <w:rsid w:val="00BE769A"/>
    <w:rsid w:val="00BE7E16"/>
    <w:rsid w:val="00BF02E1"/>
    <w:rsid w:val="00C10A5D"/>
    <w:rsid w:val="00C12432"/>
    <w:rsid w:val="00C24598"/>
    <w:rsid w:val="00C317EB"/>
    <w:rsid w:val="00C330D1"/>
    <w:rsid w:val="00C36B06"/>
    <w:rsid w:val="00C37739"/>
    <w:rsid w:val="00C47672"/>
    <w:rsid w:val="00C50C4F"/>
    <w:rsid w:val="00C51CA7"/>
    <w:rsid w:val="00C546E6"/>
    <w:rsid w:val="00C60E9D"/>
    <w:rsid w:val="00C667EF"/>
    <w:rsid w:val="00C703D4"/>
    <w:rsid w:val="00C715A0"/>
    <w:rsid w:val="00C93555"/>
    <w:rsid w:val="00C94EB0"/>
    <w:rsid w:val="00C97341"/>
    <w:rsid w:val="00CA1B9E"/>
    <w:rsid w:val="00CB09E1"/>
    <w:rsid w:val="00CB66FD"/>
    <w:rsid w:val="00CC3934"/>
    <w:rsid w:val="00CC4F90"/>
    <w:rsid w:val="00CE44D9"/>
    <w:rsid w:val="00CE5681"/>
    <w:rsid w:val="00D032D5"/>
    <w:rsid w:val="00D050DA"/>
    <w:rsid w:val="00D07A01"/>
    <w:rsid w:val="00D125C7"/>
    <w:rsid w:val="00D22A3C"/>
    <w:rsid w:val="00D35C4E"/>
    <w:rsid w:val="00D43D2D"/>
    <w:rsid w:val="00D45C3E"/>
    <w:rsid w:val="00D46DCB"/>
    <w:rsid w:val="00D53595"/>
    <w:rsid w:val="00D6066A"/>
    <w:rsid w:val="00D6198A"/>
    <w:rsid w:val="00D71B05"/>
    <w:rsid w:val="00D74093"/>
    <w:rsid w:val="00D74BD4"/>
    <w:rsid w:val="00D74C08"/>
    <w:rsid w:val="00D758F2"/>
    <w:rsid w:val="00D75EEA"/>
    <w:rsid w:val="00D776CE"/>
    <w:rsid w:val="00D80C3C"/>
    <w:rsid w:val="00D82137"/>
    <w:rsid w:val="00DA0070"/>
    <w:rsid w:val="00DA2A52"/>
    <w:rsid w:val="00DA2DFC"/>
    <w:rsid w:val="00DA5F40"/>
    <w:rsid w:val="00DA5F93"/>
    <w:rsid w:val="00DB1C89"/>
    <w:rsid w:val="00DB773E"/>
    <w:rsid w:val="00DC06E4"/>
    <w:rsid w:val="00DC0EF9"/>
    <w:rsid w:val="00DD0753"/>
    <w:rsid w:val="00DD4C5D"/>
    <w:rsid w:val="00DD56BA"/>
    <w:rsid w:val="00DF014B"/>
    <w:rsid w:val="00E00054"/>
    <w:rsid w:val="00E05D84"/>
    <w:rsid w:val="00E11F04"/>
    <w:rsid w:val="00E2214B"/>
    <w:rsid w:val="00E23A9D"/>
    <w:rsid w:val="00E24AF5"/>
    <w:rsid w:val="00E2649C"/>
    <w:rsid w:val="00E27B1E"/>
    <w:rsid w:val="00E40695"/>
    <w:rsid w:val="00E47E7B"/>
    <w:rsid w:val="00E558D8"/>
    <w:rsid w:val="00E653F8"/>
    <w:rsid w:val="00E67A2C"/>
    <w:rsid w:val="00E70CE7"/>
    <w:rsid w:val="00E77B32"/>
    <w:rsid w:val="00E817CE"/>
    <w:rsid w:val="00E830D6"/>
    <w:rsid w:val="00EA3812"/>
    <w:rsid w:val="00EB2B0F"/>
    <w:rsid w:val="00ED05EA"/>
    <w:rsid w:val="00ED3500"/>
    <w:rsid w:val="00ED4CA1"/>
    <w:rsid w:val="00EE084F"/>
    <w:rsid w:val="00EE7CE7"/>
    <w:rsid w:val="00EF077F"/>
    <w:rsid w:val="00F20750"/>
    <w:rsid w:val="00F22EDA"/>
    <w:rsid w:val="00F4498D"/>
    <w:rsid w:val="00F6356A"/>
    <w:rsid w:val="00F651EC"/>
    <w:rsid w:val="00F65F4D"/>
    <w:rsid w:val="00F75D29"/>
    <w:rsid w:val="00F84105"/>
    <w:rsid w:val="00F854AD"/>
    <w:rsid w:val="00F870AE"/>
    <w:rsid w:val="00F87766"/>
    <w:rsid w:val="00F9099D"/>
    <w:rsid w:val="00F932AE"/>
    <w:rsid w:val="00FA349F"/>
    <w:rsid w:val="00FA4648"/>
    <w:rsid w:val="00FB5B44"/>
    <w:rsid w:val="00FC3B0E"/>
    <w:rsid w:val="00FC4174"/>
    <w:rsid w:val="00FC51E7"/>
    <w:rsid w:val="00FC5E6F"/>
    <w:rsid w:val="00FD0D7B"/>
    <w:rsid w:val="00FE3FEE"/>
    <w:rsid w:val="00FE7A66"/>
    <w:rsid w:val="00FF2332"/>
    <w:rsid w:val="00FF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FAC7D"/>
  <w15:chartTrackingRefBased/>
  <w15:docId w15:val="{34B3BC05-9F26-4571-9A70-D61D292E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ED"/>
    <w:pPr>
      <w:spacing w:before="120" w:after="60"/>
      <w:jc w:val="both"/>
    </w:pPr>
    <w:rPr>
      <w:rFonts w:ascii="Arial" w:hAnsi="Arial"/>
      <w:sz w:val="24"/>
      <w:szCs w:val="24"/>
      <w:lang w:eastAsia="en-US"/>
    </w:rPr>
  </w:style>
  <w:style w:type="paragraph" w:styleId="Heading1">
    <w:name w:val="heading 1"/>
    <w:basedOn w:val="Normal"/>
    <w:next w:val="Normal"/>
    <w:qFormat/>
    <w:rsid w:val="00326FED"/>
    <w:pPr>
      <w:keepNext/>
      <w:numPr>
        <w:numId w:val="1"/>
      </w:numPr>
      <w:tabs>
        <w:tab w:val="left" w:pos="851"/>
      </w:tabs>
      <w:spacing w:before="360" w:after="120"/>
      <w:outlineLvl w:val="0"/>
    </w:pPr>
    <w:rPr>
      <w:b/>
      <w:caps/>
      <w:sz w:val="28"/>
      <w:szCs w:val="20"/>
    </w:rPr>
  </w:style>
  <w:style w:type="paragraph" w:styleId="Heading2">
    <w:name w:val="heading 2"/>
    <w:basedOn w:val="Normal"/>
    <w:next w:val="Normal"/>
    <w:qFormat/>
    <w:rsid w:val="00326FED"/>
    <w:pPr>
      <w:keepNext/>
      <w:numPr>
        <w:ilvl w:val="1"/>
        <w:numId w:val="1"/>
      </w:numPr>
      <w:tabs>
        <w:tab w:val="left" w:pos="851"/>
      </w:tabs>
      <w:spacing w:before="360" w:after="120"/>
      <w:outlineLvl w:val="1"/>
    </w:pPr>
    <w:rPr>
      <w:b/>
      <w:smallCaps/>
      <w:szCs w:val="20"/>
    </w:rPr>
  </w:style>
  <w:style w:type="paragraph" w:styleId="Heading3">
    <w:name w:val="heading 3"/>
    <w:basedOn w:val="Normal"/>
    <w:next w:val="Normal"/>
    <w:qFormat/>
    <w:rsid w:val="00326FED"/>
    <w:pPr>
      <w:keepNext/>
      <w:numPr>
        <w:ilvl w:val="2"/>
        <w:numId w:val="1"/>
      </w:numPr>
      <w:tabs>
        <w:tab w:val="left" w:pos="851"/>
      </w:tabs>
      <w:spacing w:before="360" w:after="120"/>
      <w:outlineLvl w:val="2"/>
    </w:pPr>
    <w:rPr>
      <w:b/>
      <w:szCs w:val="20"/>
    </w:rPr>
  </w:style>
  <w:style w:type="paragraph" w:styleId="Heading5">
    <w:name w:val="heading 5"/>
    <w:basedOn w:val="Normal"/>
    <w:next w:val="Normal"/>
    <w:qFormat/>
    <w:rsid w:val="00326FED"/>
    <w:pPr>
      <w:numPr>
        <w:ilvl w:val="4"/>
        <w:numId w:val="1"/>
      </w:numPr>
      <w:spacing w:before="240"/>
      <w:outlineLvl w:val="4"/>
    </w:pPr>
    <w:rPr>
      <w:b/>
      <w:bCs/>
      <w:i/>
      <w:iCs/>
      <w:sz w:val="26"/>
      <w:szCs w:val="26"/>
    </w:rPr>
  </w:style>
  <w:style w:type="paragraph" w:styleId="Heading6">
    <w:name w:val="heading 6"/>
    <w:basedOn w:val="Normal"/>
    <w:next w:val="Normal"/>
    <w:qFormat/>
    <w:rsid w:val="00326FED"/>
    <w:pPr>
      <w:numPr>
        <w:ilvl w:val="5"/>
        <w:numId w:val="1"/>
      </w:numPr>
      <w:spacing w:before="240"/>
      <w:outlineLvl w:val="5"/>
    </w:pPr>
    <w:rPr>
      <w:rFonts w:ascii="Times New Roman" w:hAnsi="Times New Roman"/>
      <w:b/>
      <w:bCs/>
      <w:sz w:val="22"/>
      <w:szCs w:val="22"/>
    </w:rPr>
  </w:style>
  <w:style w:type="paragraph" w:styleId="Heading7">
    <w:name w:val="heading 7"/>
    <w:basedOn w:val="Normal"/>
    <w:next w:val="Normal"/>
    <w:qFormat/>
    <w:rsid w:val="00326FED"/>
    <w:pPr>
      <w:numPr>
        <w:ilvl w:val="6"/>
        <w:numId w:val="1"/>
      </w:numPr>
      <w:spacing w:before="240"/>
      <w:outlineLvl w:val="6"/>
    </w:pPr>
    <w:rPr>
      <w:rFonts w:ascii="Times New Roman" w:hAnsi="Times New Roman"/>
    </w:rPr>
  </w:style>
  <w:style w:type="paragraph" w:styleId="Heading8">
    <w:name w:val="heading 8"/>
    <w:basedOn w:val="Normal"/>
    <w:next w:val="Normal"/>
    <w:qFormat/>
    <w:rsid w:val="00326FED"/>
    <w:pPr>
      <w:numPr>
        <w:ilvl w:val="7"/>
        <w:numId w:val="1"/>
      </w:numPr>
      <w:spacing w:before="240"/>
      <w:outlineLvl w:val="7"/>
    </w:pPr>
    <w:rPr>
      <w:rFonts w:ascii="Times New Roman" w:hAnsi="Times New Roman"/>
      <w:i/>
      <w:iCs/>
    </w:rPr>
  </w:style>
  <w:style w:type="paragraph" w:styleId="Heading9">
    <w:name w:val="heading 9"/>
    <w:basedOn w:val="Normal"/>
    <w:next w:val="Normal"/>
    <w:qFormat/>
    <w:rsid w:val="00326FED"/>
    <w:pPr>
      <w:numPr>
        <w:ilvl w:val="8"/>
        <w:numId w:val="1"/>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FED"/>
    <w:pPr>
      <w:tabs>
        <w:tab w:val="right" w:pos="10206"/>
      </w:tabs>
    </w:pPr>
  </w:style>
  <w:style w:type="paragraph" w:styleId="Footer">
    <w:name w:val="footer"/>
    <w:basedOn w:val="Normal"/>
    <w:link w:val="FooterChar"/>
    <w:uiPriority w:val="99"/>
    <w:rsid w:val="00326FED"/>
    <w:pPr>
      <w:tabs>
        <w:tab w:val="right" w:pos="9639"/>
      </w:tabs>
      <w:spacing w:before="360"/>
    </w:pPr>
  </w:style>
  <w:style w:type="table" w:styleId="TableGrid">
    <w:name w:val="Table Grid"/>
    <w:basedOn w:val="TableNormal"/>
    <w:uiPriority w:val="39"/>
    <w:rsid w:val="0032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rsid w:val="00326FED"/>
    <w:pPr>
      <w:numPr>
        <w:numId w:val="2"/>
      </w:numPr>
      <w:tabs>
        <w:tab w:val="clear" w:pos="774"/>
        <w:tab w:val="left" w:pos="567"/>
      </w:tabs>
      <w:ind w:left="567" w:hanging="567"/>
      <w:jc w:val="left"/>
    </w:pPr>
    <w:rPr>
      <w:szCs w:val="20"/>
    </w:rPr>
  </w:style>
  <w:style w:type="character" w:customStyle="1" w:styleId="ListBulletChar">
    <w:name w:val="List Bullet Char"/>
    <w:link w:val="ListBullet"/>
    <w:rsid w:val="00326FED"/>
    <w:rPr>
      <w:rFonts w:ascii="Arial" w:hAnsi="Arial"/>
      <w:sz w:val="24"/>
      <w:lang w:eastAsia="en-US"/>
    </w:rPr>
  </w:style>
  <w:style w:type="paragraph" w:customStyle="1" w:styleId="ColorfulList-Accent11">
    <w:name w:val="Colorful List - Accent 11"/>
    <w:basedOn w:val="Normal"/>
    <w:qFormat/>
    <w:rsid w:val="00326FED"/>
    <w:pPr>
      <w:spacing w:before="0" w:after="200" w:line="276" w:lineRule="auto"/>
      <w:ind w:left="720"/>
      <w:contextualSpacing/>
      <w:jc w:val="left"/>
    </w:pPr>
    <w:rPr>
      <w:szCs w:val="22"/>
      <w:lang w:val="en-US"/>
    </w:rPr>
  </w:style>
  <w:style w:type="paragraph" w:customStyle="1" w:styleId="BulletedList">
    <w:name w:val="Bulleted List"/>
    <w:basedOn w:val="ColorfulList-Accent11"/>
    <w:rsid w:val="00326FED"/>
    <w:pPr>
      <w:numPr>
        <w:numId w:val="3"/>
      </w:numPr>
    </w:pPr>
  </w:style>
  <w:style w:type="paragraph" w:styleId="BalloonText">
    <w:name w:val="Balloon Text"/>
    <w:basedOn w:val="Normal"/>
    <w:semiHidden/>
    <w:rsid w:val="00B8609C"/>
    <w:rPr>
      <w:rFonts w:ascii="Tahoma" w:hAnsi="Tahoma" w:cs="Tahoma"/>
      <w:sz w:val="16"/>
      <w:szCs w:val="16"/>
    </w:rPr>
  </w:style>
  <w:style w:type="character" w:styleId="Hyperlink">
    <w:name w:val="Hyperlink"/>
    <w:rsid w:val="00405453"/>
    <w:rPr>
      <w:color w:val="0563C1"/>
      <w:u w:val="single"/>
    </w:rPr>
  </w:style>
  <w:style w:type="paragraph" w:customStyle="1" w:styleId="Default">
    <w:name w:val="Default"/>
    <w:rsid w:val="00C330D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locked/>
    <w:rsid w:val="00F65F4D"/>
    <w:rPr>
      <w:rFonts w:ascii="Arial" w:hAnsi="Arial"/>
      <w:sz w:val="24"/>
      <w:szCs w:val="24"/>
      <w:lang w:eastAsia="en-US"/>
    </w:rPr>
  </w:style>
  <w:style w:type="character" w:styleId="PageNumber">
    <w:name w:val="page number"/>
    <w:basedOn w:val="DefaultParagraphFont"/>
    <w:uiPriority w:val="99"/>
    <w:rsid w:val="00F65F4D"/>
    <w:rPr>
      <w:rFonts w:cs="Times New Roman"/>
    </w:rPr>
  </w:style>
  <w:style w:type="character" w:styleId="CommentReference">
    <w:name w:val="annotation reference"/>
    <w:basedOn w:val="DefaultParagraphFont"/>
    <w:rsid w:val="003A10BB"/>
    <w:rPr>
      <w:sz w:val="16"/>
      <w:szCs w:val="16"/>
    </w:rPr>
  </w:style>
  <w:style w:type="paragraph" w:styleId="CommentText">
    <w:name w:val="annotation text"/>
    <w:basedOn w:val="Normal"/>
    <w:link w:val="CommentTextChar"/>
    <w:rsid w:val="003A10BB"/>
    <w:rPr>
      <w:sz w:val="20"/>
      <w:szCs w:val="20"/>
    </w:rPr>
  </w:style>
  <w:style w:type="character" w:customStyle="1" w:styleId="CommentTextChar">
    <w:name w:val="Comment Text Char"/>
    <w:basedOn w:val="DefaultParagraphFont"/>
    <w:link w:val="CommentText"/>
    <w:rsid w:val="003A10BB"/>
    <w:rPr>
      <w:rFonts w:ascii="Arial" w:hAnsi="Arial"/>
      <w:lang w:eastAsia="en-US"/>
    </w:rPr>
  </w:style>
  <w:style w:type="paragraph" w:styleId="CommentSubject">
    <w:name w:val="annotation subject"/>
    <w:basedOn w:val="CommentText"/>
    <w:next w:val="CommentText"/>
    <w:link w:val="CommentSubjectChar"/>
    <w:rsid w:val="003A10BB"/>
    <w:rPr>
      <w:b/>
      <w:bCs/>
    </w:rPr>
  </w:style>
  <w:style w:type="character" w:customStyle="1" w:styleId="CommentSubjectChar">
    <w:name w:val="Comment Subject Char"/>
    <w:basedOn w:val="CommentTextChar"/>
    <w:link w:val="CommentSubject"/>
    <w:rsid w:val="003A10BB"/>
    <w:rPr>
      <w:rFonts w:ascii="Arial" w:hAnsi="Arial"/>
      <w:b/>
      <w:bCs/>
      <w:lang w:eastAsia="en-US"/>
    </w:rPr>
  </w:style>
  <w:style w:type="paragraph" w:styleId="ListParagraph">
    <w:name w:val="List Paragraph"/>
    <w:basedOn w:val="Normal"/>
    <w:uiPriority w:val="34"/>
    <w:qFormat/>
    <w:rsid w:val="003A10BB"/>
    <w:pPr>
      <w:ind w:left="720"/>
      <w:contextualSpacing/>
    </w:pPr>
  </w:style>
  <w:style w:type="character" w:styleId="FollowedHyperlink">
    <w:name w:val="FollowedHyperlink"/>
    <w:basedOn w:val="DefaultParagraphFont"/>
    <w:rsid w:val="00DB1C89"/>
    <w:rPr>
      <w:color w:val="954F72" w:themeColor="followedHyperlink"/>
      <w:u w:val="single"/>
    </w:rPr>
  </w:style>
  <w:style w:type="character" w:styleId="UnresolvedMention">
    <w:name w:val="Unresolved Mention"/>
    <w:basedOn w:val="DefaultParagraphFont"/>
    <w:uiPriority w:val="99"/>
    <w:semiHidden/>
    <w:unhideWhenUsed/>
    <w:rsid w:val="0050209E"/>
    <w:rPr>
      <w:color w:val="605E5C"/>
      <w:shd w:val="clear" w:color="auto" w:fill="E1DFDD"/>
    </w:rPr>
  </w:style>
  <w:style w:type="character" w:customStyle="1" w:styleId="FooterChar">
    <w:name w:val="Footer Char"/>
    <w:basedOn w:val="DefaultParagraphFont"/>
    <w:link w:val="Footer"/>
    <w:uiPriority w:val="99"/>
    <w:rsid w:val="003C1765"/>
    <w:rPr>
      <w:rFonts w:ascii="Arial" w:hAnsi="Arial"/>
      <w:sz w:val="24"/>
      <w:szCs w:val="24"/>
      <w:lang w:eastAsia="en-US"/>
    </w:rPr>
  </w:style>
  <w:style w:type="paragraph" w:customStyle="1" w:styleId="TableText">
    <w:name w:val="Table Text"/>
    <w:basedOn w:val="Normal"/>
    <w:qFormat/>
    <w:rsid w:val="002333C2"/>
    <w:pPr>
      <w:spacing w:before="20" w:after="20"/>
      <w:jc w:val="left"/>
    </w:pPr>
    <w:rPr>
      <w:rFonts w:ascii="Century Gothic" w:hAnsi="Century Gothic"/>
      <w:sz w:val="20"/>
      <w:szCs w:val="22"/>
    </w:rPr>
  </w:style>
  <w:style w:type="paragraph" w:customStyle="1" w:styleId="TableBold">
    <w:name w:val="Table Bold"/>
    <w:basedOn w:val="Normal"/>
    <w:qFormat/>
    <w:rsid w:val="002333C2"/>
    <w:pPr>
      <w:jc w:val="left"/>
    </w:pPr>
    <w:rPr>
      <w:rFonts w:ascii="Century Gothic" w:hAnsi="Century Gothic"/>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65710">
      <w:bodyDiv w:val="1"/>
      <w:marLeft w:val="0"/>
      <w:marRight w:val="0"/>
      <w:marTop w:val="0"/>
      <w:marBottom w:val="0"/>
      <w:divBdr>
        <w:top w:val="none" w:sz="0" w:space="0" w:color="auto"/>
        <w:left w:val="none" w:sz="0" w:space="0" w:color="auto"/>
        <w:bottom w:val="none" w:sz="0" w:space="0" w:color="auto"/>
        <w:right w:val="none" w:sz="0" w:space="0" w:color="auto"/>
      </w:divBdr>
    </w:div>
    <w:div w:id="2082097107">
      <w:bodyDiv w:val="1"/>
      <w:marLeft w:val="0"/>
      <w:marRight w:val="0"/>
      <w:marTop w:val="0"/>
      <w:marBottom w:val="0"/>
      <w:divBdr>
        <w:top w:val="none" w:sz="0" w:space="0" w:color="auto"/>
        <w:left w:val="none" w:sz="0" w:space="0" w:color="auto"/>
        <w:bottom w:val="none" w:sz="0" w:space="0" w:color="auto"/>
        <w:right w:val="none" w:sz="0" w:space="0" w:color="auto"/>
      </w:divBdr>
    </w:div>
    <w:div w:id="21237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ypd.lse.operations@sheffiel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ACES@sheffield.gov.uk" TargetMode="External"/><Relationship Id="rId2" Type="http://schemas.openxmlformats.org/officeDocument/2006/relationships/customXml" Target="../customXml/item2.xml"/><Relationship Id="rId16" Type="http://schemas.openxmlformats.org/officeDocument/2006/relationships/hyperlink" Target="https://southyorkshire-ca.gov.uk/Explore_AEB-Provider-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gov.uk/government/publications/adult-education-budget-aeb-funding-rules-2023-to-2024/esfa-funded-adult-education-budget-funding-rules-2023-to-202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17dd376a-7703-4d16-8034-213cffa6164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6" ma:contentTypeDescription="Create a new document." ma:contentTypeScope="" ma:versionID="47f2e8ede32b73cee0621a579aa03f34">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a57ef099c23aa7e144856897eef401e9"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D39E3-B3D1-41C3-B912-DBFC3113069E}">
  <ds:schemaRefs>
    <ds:schemaRef ds:uri="http://schemas.microsoft.com/sharepoint/v3/contenttype/forms"/>
  </ds:schemaRefs>
</ds:datastoreItem>
</file>

<file path=customXml/itemProps2.xml><?xml version="1.0" encoding="utf-8"?>
<ds:datastoreItem xmlns:ds="http://schemas.openxmlformats.org/officeDocument/2006/customXml" ds:itemID="{560D1023-21ED-4A93-A799-A579316D0EB9}">
  <ds:schemaRefs>
    <ds:schemaRef ds:uri="http://schemas.openxmlformats.org/officeDocument/2006/bibliography"/>
  </ds:schemaRefs>
</ds:datastoreItem>
</file>

<file path=customXml/itemProps3.xml><?xml version="1.0" encoding="utf-8"?>
<ds:datastoreItem xmlns:ds="http://schemas.openxmlformats.org/officeDocument/2006/customXml" ds:itemID="{C8FA9D37-BD58-437B-8F88-5A94B0BDA5D9}">
  <ds:schemaRefs>
    <ds:schemaRef ds:uri="http://schemas.microsoft.com/office/2006/metadata/properties"/>
    <ds:schemaRef ds:uri="http://schemas.microsoft.com/office/infopath/2007/PartnerControls"/>
    <ds:schemaRef ds:uri="7ee85a2a-d933-4483-8446-7f50a3662221"/>
    <ds:schemaRef ds:uri="17dd376a-7703-4d16-8034-213cffa61642"/>
  </ds:schemaRefs>
</ds:datastoreItem>
</file>

<file path=customXml/itemProps4.xml><?xml version="1.0" encoding="utf-8"?>
<ds:datastoreItem xmlns:ds="http://schemas.openxmlformats.org/officeDocument/2006/customXml" ds:itemID="{A72B0335-233D-44D3-8A3A-A5AC73B97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d376a-7703-4d16-8034-213cffa61642"/>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Adult and Community Learning - Fees Policy 2011-12</vt:lpstr>
    </vt:vector>
  </TitlesOfParts>
  <Company>Sheffield City Council</Company>
  <LinksUpToDate>false</LinksUpToDate>
  <CharactersWithSpaces>15256</CharactersWithSpaces>
  <SharedDoc>false</SharedDoc>
  <HLinks>
    <vt:vector size="6" baseType="variant">
      <vt:variant>
        <vt:i4>7929968</vt:i4>
      </vt:variant>
      <vt:variant>
        <vt:i4>0</vt:i4>
      </vt:variant>
      <vt:variant>
        <vt:i4>0</vt:i4>
      </vt:variant>
      <vt:variant>
        <vt:i4>5</vt:i4>
      </vt:variant>
      <vt:variant>
        <vt:lpwstr>https://www.gov.uk/government/organisations/education-and-skills-funding-agency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and Community Learning - Fees Policy 2011-12</dc:title>
  <dc:subject/>
  <dc:creator>Sheffield City Council</dc:creator>
  <cp:keywords/>
  <cp:lastModifiedBy>Alex Cooke</cp:lastModifiedBy>
  <cp:revision>27</cp:revision>
  <cp:lastPrinted>2021-04-06T15:23:00Z</cp:lastPrinted>
  <dcterms:created xsi:type="dcterms:W3CDTF">2023-08-22T09:54:00Z</dcterms:created>
  <dcterms:modified xsi:type="dcterms:W3CDTF">2023-10-19T09:11:00Z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2021-12-07T09:33:25Z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3e7cdfb7-77f8-4276-a016-fc0d5a8443bb</vt:lpwstr>
  </property>
  <property fmtid="{D5CDD505-2E9C-101B-9397-08002B2CF9AE}" pid="8" name="MSIP_Label_c8588358-c3f1-4695-a290-e2f70d15689d_ContentBits">
    <vt:lpwstr>0</vt:lpwstr>
  </property>
  <property fmtid="{D5CDD505-2E9C-101B-9397-08002B2CF9AE}" pid="9" name="ContentTypeId">
    <vt:lpwstr>0x01010004DF3CB568451449ADE323E48134280C</vt:lpwstr>
  </property>
  <property fmtid="{D5CDD505-2E9C-101B-9397-08002B2CF9AE}" pid="10" name="MediaServiceImageTags">
    <vt:lpwstr/>
  </property>
</Properties>
</file>